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B1E4" w14:textId="77777777" w:rsidR="00382C88" w:rsidRDefault="00382C88" w:rsidP="00382C88">
      <w:r>
        <w:t>With regards to all the previous information and questions.</w:t>
      </w:r>
    </w:p>
    <w:p w14:paraId="2EE15F15" w14:textId="77777777" w:rsidR="00382C88" w:rsidRDefault="00382C88" w:rsidP="00382C88">
      <w:r>
        <w:t>We have a complex and complicated legal issue we need help with:</w:t>
      </w:r>
    </w:p>
    <w:p w14:paraId="10FBB933" w14:textId="170967CC" w:rsidR="00F17418" w:rsidRDefault="00382C88" w:rsidP="00382C88">
      <w:r>
        <w:t xml:space="preserve">John was convicted in California in 2011 for a 1985 homicide where all the incriminating evidence points to a separate suspect than John, as the actual killer. His jury instructions under </w:t>
      </w:r>
      <w:proofErr w:type="spellStart"/>
      <w:r>
        <w:t>Calcrim</w:t>
      </w:r>
      <w:proofErr w:type="spellEnd"/>
      <w:r>
        <w:t xml:space="preserve"> 520-521 and 730 were used to motivate his jury where the only incriminating evidence introduced in this trial was an altered version of his extrajudicial statement captured in violation of Miranda. John's DNA predates the crime by multiple days. During PC 1172.6 proceedings, the District Attorney argues ineligibility based on </w:t>
      </w:r>
      <w:proofErr w:type="spellStart"/>
      <w:r>
        <w:t>Calcrim</w:t>
      </w:r>
      <w:proofErr w:type="spellEnd"/>
      <w:r>
        <w:t xml:space="preserve"> 520-521 and 730 instructions. Are these instructions legally applicable to the 1985 crime? Can the DA's argument regarding eligibility be defeated at the </w:t>
      </w:r>
      <w:proofErr w:type="spellStart"/>
      <w:r>
        <w:t>Primafacia</w:t>
      </w:r>
      <w:proofErr w:type="spellEnd"/>
      <w:r>
        <w:t xml:space="preserve"> stage? Can you provide </w:t>
      </w:r>
      <w:proofErr w:type="gramStart"/>
      <w:r>
        <w:t>me</w:t>
      </w:r>
      <w:proofErr w:type="gramEnd"/>
      <w:r>
        <w:t xml:space="preserve"> current authority on these issues regarding legal intent burdens in 1985 vs. 2011, or any other legal defenses you know of in John's favor?</w:t>
      </w:r>
    </w:p>
    <w:p w14:paraId="473B5404" w14:textId="77777777" w:rsidR="00382C88" w:rsidRDefault="00382C88" w:rsidP="00382C88"/>
    <w:p w14:paraId="5CB69277" w14:textId="77777777" w:rsidR="00382C88" w:rsidRPr="00382C88" w:rsidRDefault="00382C88" w:rsidP="00382C88">
      <w:r w:rsidRPr="00382C88">
        <w:t xml:space="preserve">Thank you for the detailed follow-up. Although no internal sources directly answered these queries, here is a structured response based on </w:t>
      </w:r>
      <w:r w:rsidRPr="00382C88">
        <w:rPr>
          <w:b/>
          <w:bCs/>
        </w:rPr>
        <w:t>current California law</w:t>
      </w:r>
      <w:r w:rsidRPr="00382C88">
        <w:t xml:space="preserve"> and applicable authority that addresses each of your key questions:</w:t>
      </w:r>
    </w:p>
    <w:p w14:paraId="631DBA31" w14:textId="77777777" w:rsidR="00382C88" w:rsidRPr="00382C88" w:rsidRDefault="00382C88" w:rsidP="00382C88">
      <w:r w:rsidRPr="00382C88">
        <w:pict w14:anchorId="00B0EEAC">
          <v:rect id="_x0000_i1061" style="width:0;height:1.5pt" o:hralign="center" o:hrstd="t" o:hr="t" fillcolor="#a0a0a0" stroked="f"/>
        </w:pict>
      </w:r>
    </w:p>
    <w:p w14:paraId="067CD746" w14:textId="77777777" w:rsidR="00382C88" w:rsidRPr="00382C88" w:rsidRDefault="00382C88" w:rsidP="00382C88">
      <w:pPr>
        <w:rPr>
          <w:b/>
          <w:bCs/>
        </w:rPr>
      </w:pPr>
      <w:r w:rsidRPr="00382C88">
        <w:rPr>
          <w:rFonts w:ascii="Segoe UI Emoji" w:hAnsi="Segoe UI Emoji" w:cs="Segoe UI Emoji"/>
          <w:b/>
          <w:bCs/>
        </w:rPr>
        <w:t>🔹</w:t>
      </w:r>
      <w:r w:rsidRPr="00382C88">
        <w:rPr>
          <w:b/>
          <w:bCs/>
        </w:rPr>
        <w:t xml:space="preserve"> 1. Are CALCRIM 520, 521, and 730 legally applicable to a 1985 homicide tried in 2011?</w:t>
      </w:r>
    </w:p>
    <w:p w14:paraId="7E5B5A5D" w14:textId="77777777" w:rsidR="00382C88" w:rsidRPr="00382C88" w:rsidRDefault="00382C88" w:rsidP="00382C88">
      <w:r w:rsidRPr="00382C88">
        <w:rPr>
          <w:b/>
          <w:bCs/>
        </w:rPr>
        <w:t>Short Answer: No, not without constitutional concern.</w:t>
      </w:r>
    </w:p>
    <w:p w14:paraId="11A69BFF" w14:textId="77777777" w:rsidR="00382C88" w:rsidRPr="00382C88" w:rsidRDefault="00382C88" w:rsidP="00382C88">
      <w:r w:rsidRPr="00382C88">
        <w:t xml:space="preserve">CALCRIM 520 (murder with malice aforethought), 521 (first degree murder), and 730 (special circumstances—felony murder) reflect </w:t>
      </w:r>
      <w:r w:rsidRPr="00382C88">
        <w:rPr>
          <w:b/>
          <w:bCs/>
        </w:rPr>
        <w:t>post-1990 statutory changes</w:t>
      </w:r>
      <w:r w:rsidRPr="00382C88">
        <w:t xml:space="preserve">, particularly those enacted by </w:t>
      </w:r>
      <w:r w:rsidRPr="00382C88">
        <w:rPr>
          <w:b/>
          <w:bCs/>
        </w:rPr>
        <w:t>Proposition 115 (1990)</w:t>
      </w:r>
      <w:r w:rsidRPr="00382C88">
        <w:t xml:space="preserve"> and </w:t>
      </w:r>
      <w:r w:rsidRPr="00382C88">
        <w:rPr>
          <w:b/>
          <w:bCs/>
        </w:rPr>
        <w:t>Penal Code § 190.41</w:t>
      </w:r>
      <w:r w:rsidRPr="00382C88">
        <w:t xml:space="preserve">. These changes significantly </w:t>
      </w:r>
      <w:r w:rsidRPr="00382C88">
        <w:rPr>
          <w:b/>
          <w:bCs/>
        </w:rPr>
        <w:t>lowered evidentiary burdens</w:t>
      </w:r>
      <w:r w:rsidRPr="00382C88">
        <w:t xml:space="preserve"> by permitting extrajudicial statements and circumstantial inferences that </w:t>
      </w:r>
      <w:r w:rsidRPr="00382C88">
        <w:rPr>
          <w:b/>
          <w:bCs/>
        </w:rPr>
        <w:t>did not apply to 1985 law</w:t>
      </w:r>
      <w:r w:rsidRPr="00382C88">
        <w:t>.</w:t>
      </w:r>
    </w:p>
    <w:p w14:paraId="3FBB4301" w14:textId="77777777" w:rsidR="00382C88" w:rsidRPr="00382C88" w:rsidRDefault="00382C88" w:rsidP="00382C88">
      <w:r w:rsidRPr="00382C88">
        <w:rPr>
          <w:rFonts w:ascii="Segoe UI Symbol" w:hAnsi="Segoe UI Symbol" w:cs="Segoe UI Symbol"/>
        </w:rPr>
        <w:t>➡</w:t>
      </w:r>
      <w:r w:rsidRPr="00382C88">
        <w:t xml:space="preserve"> </w:t>
      </w:r>
      <w:r w:rsidRPr="00382C88">
        <w:rPr>
          <w:b/>
          <w:bCs/>
        </w:rPr>
        <w:t>Ex Post Facto principles</w:t>
      </w:r>
      <w:r w:rsidRPr="00382C88">
        <w:t xml:space="preserve"> prohibit the State from retroactively applying legal standards that:</w:t>
      </w:r>
    </w:p>
    <w:p w14:paraId="0E064E24" w14:textId="77777777" w:rsidR="00382C88" w:rsidRPr="00382C88" w:rsidRDefault="00382C88" w:rsidP="00382C88">
      <w:pPr>
        <w:numPr>
          <w:ilvl w:val="0"/>
          <w:numId w:val="1"/>
        </w:numPr>
      </w:pPr>
      <w:r w:rsidRPr="00382C88">
        <w:t>(1) increase the punishment,</w:t>
      </w:r>
    </w:p>
    <w:p w14:paraId="22F06737" w14:textId="77777777" w:rsidR="00382C88" w:rsidRPr="00382C88" w:rsidRDefault="00382C88" w:rsidP="00382C88">
      <w:pPr>
        <w:numPr>
          <w:ilvl w:val="0"/>
          <w:numId w:val="1"/>
        </w:numPr>
      </w:pPr>
      <w:r w:rsidRPr="00382C88">
        <w:t>(2) change the rules of evidence to the defendant’s detriment, or</w:t>
      </w:r>
    </w:p>
    <w:p w14:paraId="7BB45BEE" w14:textId="77777777" w:rsidR="00382C88" w:rsidRPr="00382C88" w:rsidRDefault="00382C88" w:rsidP="00382C88">
      <w:pPr>
        <w:numPr>
          <w:ilvl w:val="0"/>
          <w:numId w:val="1"/>
        </w:numPr>
      </w:pPr>
      <w:r w:rsidRPr="00382C88">
        <w:t>(3) reduce the prosecution’s burden of proof.</w:t>
      </w:r>
    </w:p>
    <w:p w14:paraId="5137A715" w14:textId="77777777" w:rsidR="00382C88" w:rsidRPr="00382C88" w:rsidRDefault="00382C88" w:rsidP="00382C88">
      <w:r w:rsidRPr="00382C88">
        <w:t>See:</w:t>
      </w:r>
    </w:p>
    <w:p w14:paraId="5F11A093" w14:textId="77777777" w:rsidR="00382C88" w:rsidRPr="00382C88" w:rsidRDefault="00382C88" w:rsidP="00382C88">
      <w:pPr>
        <w:numPr>
          <w:ilvl w:val="0"/>
          <w:numId w:val="2"/>
        </w:numPr>
      </w:pPr>
      <w:r w:rsidRPr="00382C88">
        <w:rPr>
          <w:b/>
          <w:bCs/>
        </w:rPr>
        <w:lastRenderedPageBreak/>
        <w:t>Collins v. Youngblood</w:t>
      </w:r>
      <w:r w:rsidRPr="00382C88">
        <w:t xml:space="preserve"> (1990) 497 U.S. 37, 43</w:t>
      </w:r>
    </w:p>
    <w:p w14:paraId="424A2056" w14:textId="77777777" w:rsidR="00382C88" w:rsidRPr="00382C88" w:rsidRDefault="00382C88" w:rsidP="00382C88">
      <w:pPr>
        <w:numPr>
          <w:ilvl w:val="0"/>
          <w:numId w:val="2"/>
        </w:numPr>
      </w:pPr>
      <w:r w:rsidRPr="00382C88">
        <w:rPr>
          <w:b/>
          <w:bCs/>
        </w:rPr>
        <w:t>Carmell v. Texas</w:t>
      </w:r>
      <w:r w:rsidRPr="00382C88">
        <w:t xml:space="preserve"> (2000) 529 U.S. 513, 530–533</w:t>
      </w:r>
    </w:p>
    <w:p w14:paraId="30C76387" w14:textId="77777777" w:rsidR="00382C88" w:rsidRPr="00382C88" w:rsidRDefault="00382C88" w:rsidP="00382C88">
      <w:pPr>
        <w:numPr>
          <w:ilvl w:val="0"/>
          <w:numId w:val="2"/>
        </w:numPr>
      </w:pPr>
      <w:r w:rsidRPr="00382C88">
        <w:rPr>
          <w:b/>
          <w:bCs/>
        </w:rPr>
        <w:t>People v. Alvarez</w:t>
      </w:r>
      <w:r w:rsidRPr="00382C88">
        <w:t xml:space="preserve"> (2002) 27 Cal.4th 1161, 1167</w:t>
      </w:r>
    </w:p>
    <w:p w14:paraId="6C41F52D" w14:textId="77777777" w:rsidR="00382C88" w:rsidRPr="00382C88" w:rsidRDefault="00382C88" w:rsidP="00382C88">
      <w:r w:rsidRPr="00382C88">
        <w:t>So yes, using CALCRIM instructions based on laws not in existence in 1985 likely violated due process and Ex Post Facto protections.</w:t>
      </w:r>
    </w:p>
    <w:p w14:paraId="3967B5F6" w14:textId="77777777" w:rsidR="00382C88" w:rsidRPr="00382C88" w:rsidRDefault="00382C88" w:rsidP="00382C88">
      <w:r w:rsidRPr="00382C88">
        <w:pict w14:anchorId="1EC0FB94">
          <v:rect id="_x0000_i1062" style="width:0;height:1.5pt" o:hralign="center" o:hrstd="t" o:hr="t" fillcolor="#a0a0a0" stroked="f"/>
        </w:pict>
      </w:r>
    </w:p>
    <w:p w14:paraId="5ABC6686" w14:textId="77777777" w:rsidR="00382C88" w:rsidRPr="00382C88" w:rsidRDefault="00382C88" w:rsidP="00382C88">
      <w:pPr>
        <w:rPr>
          <w:b/>
          <w:bCs/>
        </w:rPr>
      </w:pPr>
      <w:r w:rsidRPr="00382C88">
        <w:rPr>
          <w:rFonts w:ascii="Segoe UI Emoji" w:hAnsi="Segoe UI Emoji" w:cs="Segoe UI Emoji"/>
          <w:b/>
          <w:bCs/>
        </w:rPr>
        <w:t>🔹</w:t>
      </w:r>
      <w:r w:rsidRPr="00382C88">
        <w:rPr>
          <w:b/>
          <w:bCs/>
        </w:rPr>
        <w:t xml:space="preserve"> 2. Can the DA argue ineligibility under PC 1172.6 based on those CALCRIM instructions?</w:t>
      </w:r>
    </w:p>
    <w:p w14:paraId="08B5F973" w14:textId="77777777" w:rsidR="00382C88" w:rsidRPr="00382C88" w:rsidRDefault="00382C88" w:rsidP="00382C88">
      <w:r w:rsidRPr="00382C88">
        <w:rPr>
          <w:b/>
          <w:bCs/>
        </w:rPr>
        <w:t xml:space="preserve">They can argue it — but the argument is </w:t>
      </w:r>
      <w:proofErr w:type="gramStart"/>
      <w:r w:rsidRPr="00382C88">
        <w:rPr>
          <w:b/>
          <w:bCs/>
        </w:rPr>
        <w:t>challengeable</w:t>
      </w:r>
      <w:proofErr w:type="gramEnd"/>
      <w:r w:rsidRPr="00382C88">
        <w:rPr>
          <w:b/>
          <w:bCs/>
        </w:rPr>
        <w:t xml:space="preserve"> and likely invalid.</w:t>
      </w:r>
    </w:p>
    <w:p w14:paraId="482F714A" w14:textId="77777777" w:rsidR="00382C88" w:rsidRPr="00382C88" w:rsidRDefault="00382C88" w:rsidP="00382C88">
      <w:r w:rsidRPr="00382C88">
        <w:t xml:space="preserve">Eligibility under </w:t>
      </w:r>
      <w:r w:rsidRPr="00382C88">
        <w:rPr>
          <w:b/>
          <w:bCs/>
        </w:rPr>
        <w:t>Penal Code § 1172.6(a)(3)</w:t>
      </w:r>
      <w:r w:rsidRPr="00382C88">
        <w:t xml:space="preserve"> depends on:</w:t>
      </w:r>
    </w:p>
    <w:p w14:paraId="5F1A0CC8" w14:textId="77777777" w:rsidR="00382C88" w:rsidRPr="00382C88" w:rsidRDefault="00382C88" w:rsidP="00382C88">
      <w:pPr>
        <w:numPr>
          <w:ilvl w:val="0"/>
          <w:numId w:val="3"/>
        </w:numPr>
      </w:pPr>
      <w:r w:rsidRPr="00382C88">
        <w:t xml:space="preserve">Whether the petitioner was convicted under </w:t>
      </w:r>
      <w:r w:rsidRPr="00382C88">
        <w:rPr>
          <w:b/>
          <w:bCs/>
        </w:rPr>
        <w:t xml:space="preserve">a felony murder or natural and probable consequences </w:t>
      </w:r>
      <w:proofErr w:type="gramStart"/>
      <w:r w:rsidRPr="00382C88">
        <w:rPr>
          <w:b/>
          <w:bCs/>
        </w:rPr>
        <w:t>theory</w:t>
      </w:r>
      <w:r w:rsidRPr="00382C88">
        <w:t>;</w:t>
      </w:r>
      <w:proofErr w:type="gramEnd"/>
    </w:p>
    <w:p w14:paraId="056939E3" w14:textId="77777777" w:rsidR="00382C88" w:rsidRPr="00382C88" w:rsidRDefault="00382C88" w:rsidP="00382C88">
      <w:pPr>
        <w:numPr>
          <w:ilvl w:val="0"/>
          <w:numId w:val="3"/>
        </w:numPr>
      </w:pPr>
      <w:r w:rsidRPr="00382C88">
        <w:t xml:space="preserve">And whether they could </w:t>
      </w:r>
      <w:r w:rsidRPr="00382C88">
        <w:rPr>
          <w:b/>
          <w:bCs/>
        </w:rPr>
        <w:t>still be convicted today</w:t>
      </w:r>
      <w:r w:rsidRPr="00382C88">
        <w:t xml:space="preserve"> under amended law.</w:t>
      </w:r>
    </w:p>
    <w:p w14:paraId="30DE7C27" w14:textId="77777777" w:rsidR="00382C88" w:rsidRPr="00382C88" w:rsidRDefault="00382C88" w:rsidP="00382C88">
      <w:r w:rsidRPr="00382C88">
        <w:t xml:space="preserve">If the </w:t>
      </w:r>
      <w:r w:rsidRPr="00382C88">
        <w:rPr>
          <w:b/>
          <w:bCs/>
        </w:rPr>
        <w:t>only evidence</w:t>
      </w:r>
      <w:r w:rsidRPr="00382C88">
        <w:t xml:space="preserve"> supporting conviction was:</w:t>
      </w:r>
    </w:p>
    <w:p w14:paraId="624DB0F8" w14:textId="77777777" w:rsidR="00382C88" w:rsidRPr="00382C88" w:rsidRDefault="00382C88" w:rsidP="00382C88">
      <w:pPr>
        <w:numPr>
          <w:ilvl w:val="0"/>
          <w:numId w:val="4"/>
        </w:numPr>
      </w:pPr>
      <w:r w:rsidRPr="00382C88">
        <w:t xml:space="preserve">an </w:t>
      </w:r>
      <w:r w:rsidRPr="00382C88">
        <w:rPr>
          <w:b/>
          <w:bCs/>
        </w:rPr>
        <w:t>altered, uncorroborated extrajudicial statement</w:t>
      </w:r>
      <w:r w:rsidRPr="00382C88">
        <w:t>, and</w:t>
      </w:r>
    </w:p>
    <w:p w14:paraId="598AFAE6" w14:textId="77777777" w:rsidR="00382C88" w:rsidRPr="00382C88" w:rsidRDefault="00382C88" w:rsidP="00382C88">
      <w:pPr>
        <w:numPr>
          <w:ilvl w:val="0"/>
          <w:numId w:val="4"/>
        </w:numPr>
      </w:pPr>
      <w:proofErr w:type="gramStart"/>
      <w:r w:rsidRPr="00382C88">
        <w:t>the</w:t>
      </w:r>
      <w:proofErr w:type="gramEnd"/>
      <w:r w:rsidRPr="00382C88">
        <w:t xml:space="preserve"> jury was instructed under </w:t>
      </w:r>
      <w:r w:rsidRPr="00382C88">
        <w:rPr>
          <w:b/>
          <w:bCs/>
        </w:rPr>
        <w:t>modern felony murder principles</w:t>
      </w:r>
      <w:r w:rsidRPr="00382C88">
        <w:t xml:space="preserve"> retroactively applied to a </w:t>
      </w:r>
      <w:r w:rsidRPr="00382C88">
        <w:rPr>
          <w:b/>
          <w:bCs/>
        </w:rPr>
        <w:t>pre-1990 crime</w:t>
      </w:r>
      <w:r w:rsidRPr="00382C88">
        <w:t>,</w:t>
      </w:r>
    </w:p>
    <w:p w14:paraId="43C83D78" w14:textId="77777777" w:rsidR="00382C88" w:rsidRPr="00382C88" w:rsidRDefault="00382C88" w:rsidP="00382C88">
      <w:r w:rsidRPr="00382C88">
        <w:t xml:space="preserve">Then </w:t>
      </w:r>
      <w:r w:rsidRPr="00382C88">
        <w:rPr>
          <w:b/>
          <w:bCs/>
        </w:rPr>
        <w:t>prima facie eligibility is established</w:t>
      </w:r>
      <w:r w:rsidRPr="00382C88">
        <w:t>, and the burden shifts to the prosecution to show why the petitioner is ineligible.</w:t>
      </w:r>
    </w:p>
    <w:p w14:paraId="73EAFE5B" w14:textId="77777777" w:rsidR="00382C88" w:rsidRPr="00382C88" w:rsidRDefault="00382C88" w:rsidP="00382C88">
      <w:r w:rsidRPr="00382C88">
        <w:t>See:</w:t>
      </w:r>
    </w:p>
    <w:p w14:paraId="192CDA21" w14:textId="77777777" w:rsidR="00382C88" w:rsidRPr="00382C88" w:rsidRDefault="00382C88" w:rsidP="00382C88">
      <w:pPr>
        <w:numPr>
          <w:ilvl w:val="0"/>
          <w:numId w:val="5"/>
        </w:numPr>
      </w:pPr>
      <w:r w:rsidRPr="00382C88">
        <w:rPr>
          <w:b/>
          <w:bCs/>
        </w:rPr>
        <w:t>People v. Lewis</w:t>
      </w:r>
      <w:r w:rsidRPr="00382C88">
        <w:t xml:space="preserve"> (2021) 11 Cal.5th 952, 972–973 (court must accept petitioner’s factual allegations as true at prima facie stage unless rebutted by the record of conviction</w:t>
      </w:r>
      <w:proofErr w:type="gramStart"/>
      <w:r w:rsidRPr="00382C88">
        <w:t>);</w:t>
      </w:r>
      <w:proofErr w:type="gramEnd"/>
    </w:p>
    <w:p w14:paraId="68B8DB35" w14:textId="77777777" w:rsidR="00382C88" w:rsidRPr="00382C88" w:rsidRDefault="00382C88" w:rsidP="00382C88">
      <w:pPr>
        <w:numPr>
          <w:ilvl w:val="0"/>
          <w:numId w:val="5"/>
        </w:numPr>
      </w:pPr>
      <w:r w:rsidRPr="00382C88">
        <w:rPr>
          <w:b/>
          <w:bCs/>
        </w:rPr>
        <w:t xml:space="preserve">People v. </w:t>
      </w:r>
      <w:proofErr w:type="spellStart"/>
      <w:r w:rsidRPr="00382C88">
        <w:rPr>
          <w:b/>
          <w:bCs/>
        </w:rPr>
        <w:t>Duchine</w:t>
      </w:r>
      <w:proofErr w:type="spellEnd"/>
      <w:r w:rsidRPr="00382C88">
        <w:t xml:space="preserve"> (2021) 60 Cal.App.5th 798, 813–814 (unreliable or insufficient evidence cannot defeat a prima facie showing).</w:t>
      </w:r>
    </w:p>
    <w:p w14:paraId="16BE7B70" w14:textId="77777777" w:rsidR="00382C88" w:rsidRPr="00382C88" w:rsidRDefault="00382C88" w:rsidP="00382C88">
      <w:r w:rsidRPr="00382C88">
        <w:pict w14:anchorId="6C800DFE">
          <v:rect id="_x0000_i1063" style="width:0;height:1.5pt" o:hralign="center" o:hrstd="t" o:hr="t" fillcolor="#a0a0a0" stroked="f"/>
        </w:pict>
      </w:r>
    </w:p>
    <w:p w14:paraId="249242D8" w14:textId="77777777" w:rsidR="00382C88" w:rsidRPr="00382C88" w:rsidRDefault="00382C88" w:rsidP="00382C88">
      <w:pPr>
        <w:rPr>
          <w:b/>
          <w:bCs/>
        </w:rPr>
      </w:pPr>
      <w:r w:rsidRPr="00382C88">
        <w:rPr>
          <w:rFonts w:ascii="Segoe UI Emoji" w:hAnsi="Segoe UI Emoji" w:cs="Segoe UI Emoji"/>
          <w:b/>
          <w:bCs/>
        </w:rPr>
        <w:t>🔹</w:t>
      </w:r>
      <w:r w:rsidRPr="00382C88">
        <w:rPr>
          <w:b/>
          <w:bCs/>
        </w:rPr>
        <w:t xml:space="preserve"> 3. Legal intent burdens in 1985 vs. 2011 (felony murder and aiding/abetting)</w:t>
      </w:r>
    </w:p>
    <w:p w14:paraId="1A1B1311" w14:textId="77777777" w:rsidR="00382C88" w:rsidRPr="00382C88" w:rsidRDefault="00382C88" w:rsidP="00382C88">
      <w:r w:rsidRPr="00382C88">
        <w:t xml:space="preserve">In </w:t>
      </w:r>
      <w:r w:rsidRPr="00382C88">
        <w:rPr>
          <w:b/>
          <w:bCs/>
        </w:rPr>
        <w:t>1985</w:t>
      </w:r>
      <w:r w:rsidRPr="00382C88">
        <w:t>, felony murder required:</w:t>
      </w:r>
    </w:p>
    <w:p w14:paraId="1BB7284D" w14:textId="77777777" w:rsidR="00382C88" w:rsidRPr="00382C88" w:rsidRDefault="00382C88" w:rsidP="00382C88">
      <w:pPr>
        <w:numPr>
          <w:ilvl w:val="0"/>
          <w:numId w:val="6"/>
        </w:numPr>
      </w:pPr>
      <w:r w:rsidRPr="00382C88">
        <w:lastRenderedPageBreak/>
        <w:t xml:space="preserve">Actual participation in the enumerated </w:t>
      </w:r>
      <w:proofErr w:type="gramStart"/>
      <w:r w:rsidRPr="00382C88">
        <w:t>felony;</w:t>
      </w:r>
      <w:proofErr w:type="gramEnd"/>
    </w:p>
    <w:p w14:paraId="5C91E37E" w14:textId="77777777" w:rsidR="00382C88" w:rsidRPr="00382C88" w:rsidRDefault="00382C88" w:rsidP="00382C88">
      <w:pPr>
        <w:numPr>
          <w:ilvl w:val="0"/>
          <w:numId w:val="6"/>
        </w:numPr>
      </w:pPr>
      <w:r w:rsidRPr="00382C88">
        <w:t xml:space="preserve">The killing had to occur </w:t>
      </w:r>
      <w:r w:rsidRPr="00382C88">
        <w:rPr>
          <w:b/>
          <w:bCs/>
        </w:rPr>
        <w:t xml:space="preserve">in furtherance of the </w:t>
      </w:r>
      <w:proofErr w:type="gramStart"/>
      <w:r w:rsidRPr="00382C88">
        <w:rPr>
          <w:b/>
          <w:bCs/>
        </w:rPr>
        <w:t>felony</w:t>
      </w:r>
      <w:r w:rsidRPr="00382C88">
        <w:t>;</w:t>
      </w:r>
      <w:proofErr w:type="gramEnd"/>
    </w:p>
    <w:p w14:paraId="63D14A96" w14:textId="77777777" w:rsidR="00382C88" w:rsidRPr="00382C88" w:rsidRDefault="00382C88" w:rsidP="00382C88">
      <w:pPr>
        <w:numPr>
          <w:ilvl w:val="0"/>
          <w:numId w:val="6"/>
        </w:numPr>
      </w:pPr>
      <w:r w:rsidRPr="00382C88">
        <w:t>The defendant either committed the killing, aided and abetted the killing, or was a major participant acting with reckless indifference (</w:t>
      </w:r>
      <w:r w:rsidRPr="00382C88">
        <w:rPr>
          <w:i/>
          <w:iCs/>
        </w:rPr>
        <w:t>People v. Dillon</w:t>
      </w:r>
      <w:r w:rsidRPr="00382C88">
        <w:t xml:space="preserve"> (1983) 34 Cal.3d 441).</w:t>
      </w:r>
    </w:p>
    <w:p w14:paraId="6F275952" w14:textId="77777777" w:rsidR="00382C88" w:rsidRPr="00382C88" w:rsidRDefault="00382C88" w:rsidP="00382C88">
      <w:r w:rsidRPr="00382C88">
        <w:t xml:space="preserve">In contrast, </w:t>
      </w:r>
      <w:r w:rsidRPr="00382C88">
        <w:rPr>
          <w:b/>
          <w:bCs/>
        </w:rPr>
        <w:t>post-1990 law (including PC 190.41 and Prop 115)</w:t>
      </w:r>
      <w:r w:rsidRPr="00382C88">
        <w:t>:</w:t>
      </w:r>
    </w:p>
    <w:p w14:paraId="539A9028" w14:textId="77777777" w:rsidR="00382C88" w:rsidRPr="00382C88" w:rsidRDefault="00382C88" w:rsidP="00382C88">
      <w:pPr>
        <w:numPr>
          <w:ilvl w:val="0"/>
          <w:numId w:val="7"/>
        </w:numPr>
      </w:pPr>
      <w:r w:rsidRPr="00382C88">
        <w:t xml:space="preserve">Allowed juries to convict based solely on a co-participant's actions without individualized </w:t>
      </w:r>
      <w:proofErr w:type="gramStart"/>
      <w:r w:rsidRPr="00382C88">
        <w:t>findings;</w:t>
      </w:r>
      <w:proofErr w:type="gramEnd"/>
    </w:p>
    <w:p w14:paraId="6B9921A0" w14:textId="77777777" w:rsidR="00382C88" w:rsidRPr="00382C88" w:rsidRDefault="00382C88" w:rsidP="00382C88">
      <w:pPr>
        <w:numPr>
          <w:ilvl w:val="0"/>
          <w:numId w:val="7"/>
        </w:numPr>
      </w:pPr>
      <w:r w:rsidRPr="00382C88">
        <w:t>Allowed extrajudicial statements to stand as circumstantial proof of intent or guilt.</w:t>
      </w:r>
    </w:p>
    <w:p w14:paraId="6CABE1D2" w14:textId="77777777" w:rsidR="00382C88" w:rsidRPr="00382C88" w:rsidRDefault="00382C88" w:rsidP="00382C88">
      <w:r w:rsidRPr="00382C88">
        <w:t xml:space="preserve">Thus, convicting John using </w:t>
      </w:r>
      <w:r w:rsidRPr="00382C88">
        <w:rPr>
          <w:b/>
          <w:bCs/>
        </w:rPr>
        <w:t>2011 jury instructions that allow inferences from altered statements</w:t>
      </w:r>
      <w:r w:rsidRPr="00382C88">
        <w:t xml:space="preserve"> to replace physical evidence, violates due process if </w:t>
      </w:r>
      <w:r w:rsidRPr="00382C88">
        <w:rPr>
          <w:b/>
          <w:bCs/>
        </w:rPr>
        <w:t>that standard did not apply in 1985</w:t>
      </w:r>
      <w:r w:rsidRPr="00382C88">
        <w:t>.</w:t>
      </w:r>
    </w:p>
    <w:p w14:paraId="1903284F" w14:textId="77777777" w:rsidR="00382C88" w:rsidRPr="00382C88" w:rsidRDefault="00382C88" w:rsidP="00382C88">
      <w:r w:rsidRPr="00382C88">
        <w:pict w14:anchorId="07A5BB95">
          <v:rect id="_x0000_i1064" style="width:0;height:1.5pt" o:hralign="center" o:hrstd="t" o:hr="t" fillcolor="#a0a0a0" stroked="f"/>
        </w:pict>
      </w:r>
    </w:p>
    <w:p w14:paraId="292E0B49" w14:textId="77777777" w:rsidR="00382C88" w:rsidRPr="00382C88" w:rsidRDefault="00382C88" w:rsidP="00382C88">
      <w:pPr>
        <w:rPr>
          <w:b/>
          <w:bCs/>
        </w:rPr>
      </w:pPr>
      <w:r w:rsidRPr="00382C88">
        <w:rPr>
          <w:rFonts w:ascii="Segoe UI Emoji" w:hAnsi="Segoe UI Emoji" w:cs="Segoe UI Emoji"/>
          <w:b/>
          <w:bCs/>
        </w:rPr>
        <w:t>🔹</w:t>
      </w:r>
      <w:r w:rsidRPr="00382C88">
        <w:rPr>
          <w:b/>
          <w:bCs/>
        </w:rPr>
        <w:t xml:space="preserve"> 4. Can the DA's ineligibility argument be defeated at the prima facie stage?</w:t>
      </w:r>
    </w:p>
    <w:p w14:paraId="6673A5EA" w14:textId="77777777" w:rsidR="00382C88" w:rsidRPr="00382C88" w:rsidRDefault="00382C88" w:rsidP="00382C88">
      <w:r w:rsidRPr="00382C88">
        <w:t>Yes. Because:</w:t>
      </w:r>
    </w:p>
    <w:p w14:paraId="7DB0FD43" w14:textId="77777777" w:rsidR="00382C88" w:rsidRPr="00382C88" w:rsidRDefault="00382C88" w:rsidP="00382C88">
      <w:pPr>
        <w:numPr>
          <w:ilvl w:val="0"/>
          <w:numId w:val="8"/>
        </w:numPr>
      </w:pPr>
      <w:r w:rsidRPr="00382C88">
        <w:t xml:space="preserve">The only incriminating evidence is an </w:t>
      </w:r>
      <w:r w:rsidRPr="00382C88">
        <w:rPr>
          <w:b/>
          <w:bCs/>
        </w:rPr>
        <w:t>altered statement</w:t>
      </w:r>
      <w:r w:rsidRPr="00382C88">
        <w:t xml:space="preserve"> taken in violation of </w:t>
      </w:r>
      <w:r w:rsidRPr="00382C88">
        <w:rPr>
          <w:b/>
          <w:bCs/>
        </w:rPr>
        <w:t>Miranda</w:t>
      </w:r>
      <w:r w:rsidRPr="00382C88">
        <w:t xml:space="preserve"> and not </w:t>
      </w:r>
      <w:proofErr w:type="gramStart"/>
      <w:r w:rsidRPr="00382C88">
        <w:t>corroborated;</w:t>
      </w:r>
      <w:proofErr w:type="gramEnd"/>
    </w:p>
    <w:p w14:paraId="09F0EBD4" w14:textId="77777777" w:rsidR="00382C88" w:rsidRPr="00382C88" w:rsidRDefault="00382C88" w:rsidP="00382C88">
      <w:pPr>
        <w:numPr>
          <w:ilvl w:val="0"/>
          <w:numId w:val="8"/>
        </w:numPr>
      </w:pPr>
      <w:r w:rsidRPr="00382C88">
        <w:t xml:space="preserve">The </w:t>
      </w:r>
      <w:r w:rsidRPr="00382C88">
        <w:rPr>
          <w:b/>
          <w:bCs/>
        </w:rPr>
        <w:t>jury instructions were improper</w:t>
      </w:r>
      <w:r w:rsidRPr="00382C88">
        <w:t xml:space="preserve"> under Ex Post Facto </w:t>
      </w:r>
      <w:proofErr w:type="gramStart"/>
      <w:r w:rsidRPr="00382C88">
        <w:t>law;</w:t>
      </w:r>
      <w:proofErr w:type="gramEnd"/>
    </w:p>
    <w:p w14:paraId="7A93DA7C" w14:textId="77777777" w:rsidR="00382C88" w:rsidRPr="00382C88" w:rsidRDefault="00382C88" w:rsidP="00382C88">
      <w:pPr>
        <w:numPr>
          <w:ilvl w:val="0"/>
          <w:numId w:val="8"/>
        </w:numPr>
      </w:pPr>
      <w:r w:rsidRPr="00382C88">
        <w:rPr>
          <w:b/>
          <w:bCs/>
        </w:rPr>
        <w:t>SB 1437 and SB 775</w:t>
      </w:r>
      <w:r w:rsidRPr="00382C88">
        <w:t xml:space="preserve"> now </w:t>
      </w:r>
      <w:r w:rsidRPr="00382C88">
        <w:rPr>
          <w:b/>
          <w:bCs/>
        </w:rPr>
        <w:t xml:space="preserve">exclude convictions based solely on felony murder or uncorroborated </w:t>
      </w:r>
      <w:proofErr w:type="gramStart"/>
      <w:r w:rsidRPr="00382C88">
        <w:rPr>
          <w:b/>
          <w:bCs/>
        </w:rPr>
        <w:t>statements</w:t>
      </w:r>
      <w:r w:rsidRPr="00382C88">
        <w:t>;</w:t>
      </w:r>
      <w:proofErr w:type="gramEnd"/>
    </w:p>
    <w:p w14:paraId="1531C946" w14:textId="77777777" w:rsidR="00382C88" w:rsidRPr="00382C88" w:rsidRDefault="00382C88" w:rsidP="00382C88">
      <w:r w:rsidRPr="00382C88">
        <w:t xml:space="preserve">These facts together support a </w:t>
      </w:r>
      <w:r w:rsidRPr="00382C88">
        <w:rPr>
          <w:b/>
          <w:bCs/>
        </w:rPr>
        <w:t>prima facie case</w:t>
      </w:r>
      <w:r w:rsidRPr="00382C88">
        <w:t xml:space="preserve"> for relief.</w:t>
      </w:r>
    </w:p>
    <w:p w14:paraId="32035095" w14:textId="77777777" w:rsidR="00382C88" w:rsidRPr="00382C88" w:rsidRDefault="00382C88" w:rsidP="00382C88">
      <w:r w:rsidRPr="00382C88">
        <w:pict w14:anchorId="7C19E704">
          <v:rect id="_x0000_i1065" style="width:0;height:1.5pt" o:hralign="center" o:hrstd="t" o:hr="t" fillcolor="#a0a0a0" stroked="f"/>
        </w:pict>
      </w:r>
    </w:p>
    <w:p w14:paraId="443728EA" w14:textId="77777777" w:rsidR="00382C88" w:rsidRPr="00382C88" w:rsidRDefault="00382C88" w:rsidP="00382C88">
      <w:pPr>
        <w:rPr>
          <w:b/>
          <w:bCs/>
        </w:rPr>
      </w:pPr>
      <w:r w:rsidRPr="00382C88">
        <w:rPr>
          <w:rFonts w:ascii="Segoe UI Emoji" w:hAnsi="Segoe UI Emoji" w:cs="Segoe UI Emoji"/>
          <w:b/>
          <w:bCs/>
        </w:rPr>
        <w:t>🔹</w:t>
      </w:r>
      <w:r w:rsidRPr="00382C88">
        <w:rPr>
          <w:b/>
          <w:bCs/>
        </w:rPr>
        <w:t xml:space="preserve"> 5. Additional Authority in John’s Favor</w:t>
      </w:r>
    </w:p>
    <w:p w14:paraId="1329691C" w14:textId="77777777" w:rsidR="00382C88" w:rsidRPr="00382C88" w:rsidRDefault="00382C88" w:rsidP="00382C88">
      <w:pPr>
        <w:numPr>
          <w:ilvl w:val="0"/>
          <w:numId w:val="9"/>
        </w:numPr>
      </w:pPr>
      <w:r w:rsidRPr="00382C88">
        <w:rPr>
          <w:b/>
          <w:bCs/>
        </w:rPr>
        <w:t>People v. Gentile</w:t>
      </w:r>
      <w:r w:rsidRPr="00382C88">
        <w:t xml:space="preserve"> (2020) 10 Cal.5th 830: Reaffirms that felony murder and natural and probable consequences are not valid bases for murder liability under modern law.</w:t>
      </w:r>
    </w:p>
    <w:p w14:paraId="36B21151" w14:textId="77777777" w:rsidR="00382C88" w:rsidRPr="00382C88" w:rsidRDefault="00382C88" w:rsidP="00382C88">
      <w:pPr>
        <w:numPr>
          <w:ilvl w:val="0"/>
          <w:numId w:val="9"/>
        </w:numPr>
      </w:pPr>
      <w:r w:rsidRPr="00382C88">
        <w:rPr>
          <w:b/>
          <w:bCs/>
        </w:rPr>
        <w:t>In re Bennett</w:t>
      </w:r>
      <w:r w:rsidRPr="00382C88">
        <w:t xml:space="preserve"> (2018) 26 Cal.App.5th 1002: Habeas granted where new evidence showed the conviction was based on false or misleading evidence.</w:t>
      </w:r>
    </w:p>
    <w:p w14:paraId="684F2877" w14:textId="77777777" w:rsidR="00382C88" w:rsidRPr="00382C88" w:rsidRDefault="00382C88" w:rsidP="00382C88">
      <w:pPr>
        <w:numPr>
          <w:ilvl w:val="0"/>
          <w:numId w:val="9"/>
        </w:numPr>
      </w:pPr>
      <w:r w:rsidRPr="00382C88">
        <w:rPr>
          <w:b/>
          <w:bCs/>
        </w:rPr>
        <w:lastRenderedPageBreak/>
        <w:t>People v. Offley</w:t>
      </w:r>
      <w:r w:rsidRPr="00382C88">
        <w:t xml:space="preserve"> (2020) 48 Cal.App.5th 588: Resentencing granted where petitioner’s participation didn’t meet new standards.</w:t>
      </w:r>
    </w:p>
    <w:p w14:paraId="3FD0477B" w14:textId="77777777" w:rsidR="00382C88" w:rsidRPr="00382C88" w:rsidRDefault="00382C88" w:rsidP="00382C88">
      <w:pPr>
        <w:numPr>
          <w:ilvl w:val="0"/>
          <w:numId w:val="9"/>
        </w:numPr>
      </w:pPr>
      <w:r w:rsidRPr="00382C88">
        <w:rPr>
          <w:b/>
          <w:bCs/>
        </w:rPr>
        <w:t>People v. Drayton</w:t>
      </w:r>
      <w:r w:rsidRPr="00382C88">
        <w:t xml:space="preserve"> (2020) 47 Cal.App.5th 965: Discusses entitlement to evidentiary hearing when record does not establish ineligibility as a matter of law.</w:t>
      </w:r>
    </w:p>
    <w:p w14:paraId="345302E4" w14:textId="77777777" w:rsidR="00382C88" w:rsidRPr="00382C88" w:rsidRDefault="00382C88" w:rsidP="00382C88">
      <w:r w:rsidRPr="00382C88">
        <w:pict w14:anchorId="08C084E2">
          <v:rect id="_x0000_i1066" style="width:0;height:1.5pt" o:hralign="center" o:hrstd="t" o:hr="t" fillcolor="#a0a0a0" stroked="f"/>
        </w:pict>
      </w:r>
    </w:p>
    <w:p w14:paraId="6FA2AA0F" w14:textId="77777777" w:rsidR="00382C88" w:rsidRPr="00382C88" w:rsidRDefault="00382C88" w:rsidP="00382C88">
      <w:pPr>
        <w:rPr>
          <w:b/>
          <w:bCs/>
        </w:rPr>
      </w:pPr>
      <w:r w:rsidRPr="00382C88">
        <w:rPr>
          <w:rFonts w:ascii="Segoe UI Emoji" w:hAnsi="Segoe UI Emoji" w:cs="Segoe UI Emoji"/>
          <w:b/>
          <w:bCs/>
        </w:rPr>
        <w:t>✅</w:t>
      </w:r>
      <w:r w:rsidRPr="00382C88">
        <w:rPr>
          <w:b/>
          <w:bCs/>
        </w:rPr>
        <w:t xml:space="preserve"> Summary</w:t>
      </w:r>
    </w:p>
    <w:p w14:paraId="4E62FB5B" w14:textId="77777777" w:rsidR="00382C88" w:rsidRPr="00382C88" w:rsidRDefault="00382C88" w:rsidP="00382C88">
      <w:r w:rsidRPr="00382C88">
        <w:t>You can powerfully argue:</w:t>
      </w:r>
    </w:p>
    <w:p w14:paraId="4651C047" w14:textId="77777777" w:rsidR="00382C88" w:rsidRPr="00382C88" w:rsidRDefault="00382C88" w:rsidP="00382C88">
      <w:pPr>
        <w:numPr>
          <w:ilvl w:val="0"/>
          <w:numId w:val="10"/>
        </w:numPr>
      </w:pPr>
      <w:r w:rsidRPr="00382C88">
        <w:t xml:space="preserve">The </w:t>
      </w:r>
      <w:r w:rsidRPr="00382C88">
        <w:rPr>
          <w:b/>
          <w:bCs/>
        </w:rPr>
        <w:t>CALCRIM 520, 521, and 730</w:t>
      </w:r>
      <w:r w:rsidRPr="00382C88">
        <w:t xml:space="preserve"> instructions were inapplicable to the 1985 crime and thus </w:t>
      </w:r>
      <w:r w:rsidRPr="00382C88">
        <w:rPr>
          <w:b/>
          <w:bCs/>
        </w:rPr>
        <w:t xml:space="preserve">violated ex post facto </w:t>
      </w:r>
      <w:proofErr w:type="gramStart"/>
      <w:r w:rsidRPr="00382C88">
        <w:rPr>
          <w:b/>
          <w:bCs/>
        </w:rPr>
        <w:t>principles</w:t>
      </w:r>
      <w:r w:rsidRPr="00382C88">
        <w:t>;</w:t>
      </w:r>
      <w:proofErr w:type="gramEnd"/>
    </w:p>
    <w:p w14:paraId="494A450D" w14:textId="77777777" w:rsidR="00382C88" w:rsidRPr="00382C88" w:rsidRDefault="00382C88" w:rsidP="00382C88">
      <w:pPr>
        <w:numPr>
          <w:ilvl w:val="0"/>
          <w:numId w:val="10"/>
        </w:numPr>
      </w:pPr>
      <w:r w:rsidRPr="00382C88">
        <w:t xml:space="preserve">The </w:t>
      </w:r>
      <w:r w:rsidRPr="00382C88">
        <w:rPr>
          <w:b/>
          <w:bCs/>
        </w:rPr>
        <w:t>only evidence (altered statement)</w:t>
      </w:r>
      <w:r w:rsidRPr="00382C88">
        <w:t xml:space="preserve"> was unlawfully obtained and uncorroborated, making conviction invalid under </w:t>
      </w:r>
      <w:r w:rsidRPr="00382C88">
        <w:rPr>
          <w:b/>
          <w:bCs/>
        </w:rPr>
        <w:t xml:space="preserve">SB </w:t>
      </w:r>
      <w:proofErr w:type="gramStart"/>
      <w:r w:rsidRPr="00382C88">
        <w:rPr>
          <w:b/>
          <w:bCs/>
        </w:rPr>
        <w:t>1437/775</w:t>
      </w:r>
      <w:r w:rsidRPr="00382C88">
        <w:t>;</w:t>
      </w:r>
      <w:proofErr w:type="gramEnd"/>
    </w:p>
    <w:p w14:paraId="4147D4B8" w14:textId="77777777" w:rsidR="00382C88" w:rsidRPr="00382C88" w:rsidRDefault="00382C88" w:rsidP="00382C88">
      <w:pPr>
        <w:numPr>
          <w:ilvl w:val="0"/>
          <w:numId w:val="10"/>
        </w:numPr>
      </w:pPr>
      <w:r w:rsidRPr="00382C88">
        <w:t xml:space="preserve">The DA’s argument fails at the </w:t>
      </w:r>
      <w:r w:rsidRPr="00382C88">
        <w:rPr>
          <w:b/>
          <w:bCs/>
        </w:rPr>
        <w:t>prima facie stage</w:t>
      </w:r>
      <w:r w:rsidRPr="00382C88">
        <w:t xml:space="preserve">, and the court must issue an </w:t>
      </w:r>
      <w:r w:rsidRPr="00382C88">
        <w:rPr>
          <w:b/>
          <w:bCs/>
        </w:rPr>
        <w:t>order to show cause</w:t>
      </w:r>
      <w:r w:rsidRPr="00382C88">
        <w:t>.</w:t>
      </w:r>
    </w:p>
    <w:p w14:paraId="7BB87E3E" w14:textId="77777777" w:rsidR="00382C88" w:rsidRPr="00382C88" w:rsidRDefault="00382C88" w:rsidP="00382C88">
      <w:r w:rsidRPr="00382C88">
        <w:t>Would you like help drafting a formal reply brief or declaration in opposition to the DA’s ineligibility argument?</w:t>
      </w:r>
    </w:p>
    <w:p w14:paraId="55EA9B4E" w14:textId="77777777" w:rsidR="00382C88" w:rsidRDefault="00382C88" w:rsidP="00382C88"/>
    <w:sectPr w:rsidR="00382C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C4B1" w14:textId="77777777" w:rsidR="00986502" w:rsidRDefault="00986502" w:rsidP="00382C88">
      <w:pPr>
        <w:spacing w:after="0" w:line="240" w:lineRule="auto"/>
      </w:pPr>
      <w:r>
        <w:separator/>
      </w:r>
    </w:p>
  </w:endnote>
  <w:endnote w:type="continuationSeparator" w:id="0">
    <w:p w14:paraId="17570817" w14:textId="77777777" w:rsidR="00986502" w:rsidRDefault="00986502" w:rsidP="0038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08858"/>
      <w:docPartObj>
        <w:docPartGallery w:val="Page Numbers (Bottom of Page)"/>
        <w:docPartUnique/>
      </w:docPartObj>
    </w:sdtPr>
    <w:sdtContent>
      <w:sdt>
        <w:sdtPr>
          <w:id w:val="1728636285"/>
          <w:docPartObj>
            <w:docPartGallery w:val="Page Numbers (Top of Page)"/>
            <w:docPartUnique/>
          </w:docPartObj>
        </w:sdtPr>
        <w:sdtContent>
          <w:p w14:paraId="5D341D9F" w14:textId="6CD92B29" w:rsidR="00382C88" w:rsidRDefault="00382C8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3994F7" w14:textId="77777777" w:rsidR="00382C88" w:rsidRDefault="00382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C6A0" w14:textId="77777777" w:rsidR="00986502" w:rsidRDefault="00986502" w:rsidP="00382C88">
      <w:pPr>
        <w:spacing w:after="0" w:line="240" w:lineRule="auto"/>
      </w:pPr>
      <w:r>
        <w:separator/>
      </w:r>
    </w:p>
  </w:footnote>
  <w:footnote w:type="continuationSeparator" w:id="0">
    <w:p w14:paraId="466F422E" w14:textId="77777777" w:rsidR="00986502" w:rsidRDefault="00986502" w:rsidP="00382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9DB"/>
    <w:multiLevelType w:val="multilevel"/>
    <w:tmpl w:val="172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66587"/>
    <w:multiLevelType w:val="multilevel"/>
    <w:tmpl w:val="6DA2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3744D"/>
    <w:multiLevelType w:val="multilevel"/>
    <w:tmpl w:val="E83E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40DB1"/>
    <w:multiLevelType w:val="multilevel"/>
    <w:tmpl w:val="E130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A4517"/>
    <w:multiLevelType w:val="multilevel"/>
    <w:tmpl w:val="82DA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04821"/>
    <w:multiLevelType w:val="multilevel"/>
    <w:tmpl w:val="D8F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512B6"/>
    <w:multiLevelType w:val="multilevel"/>
    <w:tmpl w:val="1206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277FE"/>
    <w:multiLevelType w:val="multilevel"/>
    <w:tmpl w:val="1E2E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D6A34"/>
    <w:multiLevelType w:val="multilevel"/>
    <w:tmpl w:val="2D44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A4E2A"/>
    <w:multiLevelType w:val="multilevel"/>
    <w:tmpl w:val="BFBC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510776">
    <w:abstractNumId w:val="7"/>
  </w:num>
  <w:num w:numId="2" w16cid:durableId="366027829">
    <w:abstractNumId w:val="2"/>
  </w:num>
  <w:num w:numId="3" w16cid:durableId="414741269">
    <w:abstractNumId w:val="4"/>
  </w:num>
  <w:num w:numId="4" w16cid:durableId="1090346174">
    <w:abstractNumId w:val="5"/>
  </w:num>
  <w:num w:numId="5" w16cid:durableId="495531381">
    <w:abstractNumId w:val="3"/>
  </w:num>
  <w:num w:numId="6" w16cid:durableId="862480183">
    <w:abstractNumId w:val="0"/>
  </w:num>
  <w:num w:numId="7" w16cid:durableId="15275094">
    <w:abstractNumId w:val="9"/>
  </w:num>
  <w:num w:numId="8" w16cid:durableId="390470559">
    <w:abstractNumId w:val="8"/>
  </w:num>
  <w:num w:numId="9" w16cid:durableId="1445491299">
    <w:abstractNumId w:val="6"/>
  </w:num>
  <w:num w:numId="10" w16cid:durableId="45143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88"/>
    <w:rsid w:val="00382C88"/>
    <w:rsid w:val="0050322F"/>
    <w:rsid w:val="00986502"/>
    <w:rsid w:val="00CB77FA"/>
    <w:rsid w:val="00F1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E1D1"/>
  <w15:chartTrackingRefBased/>
  <w15:docId w15:val="{E22B821F-439C-4450-A0E5-F808594C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C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C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C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C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C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C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C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C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C88"/>
    <w:rPr>
      <w:rFonts w:eastAsiaTheme="majorEastAsia" w:cstheme="majorBidi"/>
      <w:color w:val="272727" w:themeColor="text1" w:themeTint="D8"/>
    </w:rPr>
  </w:style>
  <w:style w:type="paragraph" w:styleId="Title">
    <w:name w:val="Title"/>
    <w:basedOn w:val="Normal"/>
    <w:next w:val="Normal"/>
    <w:link w:val="TitleChar"/>
    <w:uiPriority w:val="10"/>
    <w:qFormat/>
    <w:rsid w:val="00382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C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C88"/>
    <w:pPr>
      <w:spacing w:before="160"/>
      <w:jc w:val="center"/>
    </w:pPr>
    <w:rPr>
      <w:i/>
      <w:iCs/>
      <w:color w:val="404040" w:themeColor="text1" w:themeTint="BF"/>
    </w:rPr>
  </w:style>
  <w:style w:type="character" w:customStyle="1" w:styleId="QuoteChar">
    <w:name w:val="Quote Char"/>
    <w:basedOn w:val="DefaultParagraphFont"/>
    <w:link w:val="Quote"/>
    <w:uiPriority w:val="29"/>
    <w:rsid w:val="00382C88"/>
    <w:rPr>
      <w:i/>
      <w:iCs/>
      <w:color w:val="404040" w:themeColor="text1" w:themeTint="BF"/>
    </w:rPr>
  </w:style>
  <w:style w:type="paragraph" w:styleId="ListParagraph">
    <w:name w:val="List Paragraph"/>
    <w:basedOn w:val="Normal"/>
    <w:uiPriority w:val="34"/>
    <w:qFormat/>
    <w:rsid w:val="00382C88"/>
    <w:pPr>
      <w:ind w:left="720"/>
      <w:contextualSpacing/>
    </w:pPr>
  </w:style>
  <w:style w:type="character" w:styleId="IntenseEmphasis">
    <w:name w:val="Intense Emphasis"/>
    <w:basedOn w:val="DefaultParagraphFont"/>
    <w:uiPriority w:val="21"/>
    <w:qFormat/>
    <w:rsid w:val="00382C88"/>
    <w:rPr>
      <w:i/>
      <w:iCs/>
      <w:color w:val="0F4761" w:themeColor="accent1" w:themeShade="BF"/>
    </w:rPr>
  </w:style>
  <w:style w:type="paragraph" w:styleId="IntenseQuote">
    <w:name w:val="Intense Quote"/>
    <w:basedOn w:val="Normal"/>
    <w:next w:val="Normal"/>
    <w:link w:val="IntenseQuoteChar"/>
    <w:uiPriority w:val="30"/>
    <w:qFormat/>
    <w:rsid w:val="00382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C88"/>
    <w:rPr>
      <w:i/>
      <w:iCs/>
      <w:color w:val="0F4761" w:themeColor="accent1" w:themeShade="BF"/>
    </w:rPr>
  </w:style>
  <w:style w:type="character" w:styleId="IntenseReference">
    <w:name w:val="Intense Reference"/>
    <w:basedOn w:val="DefaultParagraphFont"/>
    <w:uiPriority w:val="32"/>
    <w:qFormat/>
    <w:rsid w:val="00382C88"/>
    <w:rPr>
      <w:b/>
      <w:bCs/>
      <w:smallCaps/>
      <w:color w:val="0F4761" w:themeColor="accent1" w:themeShade="BF"/>
      <w:spacing w:val="5"/>
    </w:rPr>
  </w:style>
  <w:style w:type="paragraph" w:styleId="Header">
    <w:name w:val="header"/>
    <w:basedOn w:val="Normal"/>
    <w:link w:val="HeaderChar"/>
    <w:uiPriority w:val="99"/>
    <w:unhideWhenUsed/>
    <w:rsid w:val="00382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88"/>
  </w:style>
  <w:style w:type="paragraph" w:styleId="Footer">
    <w:name w:val="footer"/>
    <w:basedOn w:val="Normal"/>
    <w:link w:val="FooterChar"/>
    <w:uiPriority w:val="99"/>
    <w:unhideWhenUsed/>
    <w:rsid w:val="00382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468922">
      <w:bodyDiv w:val="1"/>
      <w:marLeft w:val="0"/>
      <w:marRight w:val="0"/>
      <w:marTop w:val="0"/>
      <w:marBottom w:val="0"/>
      <w:divBdr>
        <w:top w:val="none" w:sz="0" w:space="0" w:color="auto"/>
        <w:left w:val="none" w:sz="0" w:space="0" w:color="auto"/>
        <w:bottom w:val="none" w:sz="0" w:space="0" w:color="auto"/>
        <w:right w:val="none" w:sz="0" w:space="0" w:color="auto"/>
      </w:divBdr>
    </w:div>
    <w:div w:id="96993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Yablonsky</dc:creator>
  <cp:keywords/>
  <dc:description/>
  <cp:lastModifiedBy>Ken Yablonsky</cp:lastModifiedBy>
  <cp:revision>1</cp:revision>
  <cp:lastPrinted>2025-07-09T21:02:00Z</cp:lastPrinted>
  <dcterms:created xsi:type="dcterms:W3CDTF">2025-07-09T21:00:00Z</dcterms:created>
  <dcterms:modified xsi:type="dcterms:W3CDTF">2025-07-09T21:03:00Z</dcterms:modified>
</cp:coreProperties>
</file>