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BEBB6" w14:textId="77777777" w:rsidR="000F2633" w:rsidRPr="00F55A60" w:rsidRDefault="000F2633" w:rsidP="000F2633">
      <w:pPr>
        <w:spacing w:after="0" w:line="240" w:lineRule="auto"/>
        <w:rPr>
          <w:b/>
          <w:bCs/>
          <w:lang w:val="es-ES"/>
        </w:rPr>
      </w:pPr>
      <w:r w:rsidRPr="00F55A60">
        <w:rPr>
          <w:b/>
          <w:bCs/>
          <w:lang w:val="es-ES"/>
        </w:rPr>
        <w:t>John Henry Yablonsky</w:t>
      </w:r>
    </w:p>
    <w:p w14:paraId="5C3E5585" w14:textId="77777777" w:rsidR="000F2633" w:rsidRPr="00F55A60" w:rsidRDefault="000F2633" w:rsidP="000F2633">
      <w:pPr>
        <w:spacing w:after="0" w:line="240" w:lineRule="auto"/>
        <w:rPr>
          <w:b/>
          <w:bCs/>
          <w:lang w:val="es-ES"/>
        </w:rPr>
      </w:pPr>
      <w:r w:rsidRPr="00F55A60">
        <w:rPr>
          <w:b/>
          <w:bCs/>
          <w:lang w:val="es-ES"/>
        </w:rPr>
        <w:t># AL0373</w:t>
      </w:r>
    </w:p>
    <w:p w14:paraId="5E63B631" w14:textId="77777777" w:rsidR="000F2633" w:rsidRPr="00F55A60" w:rsidRDefault="000F2633" w:rsidP="000F2633">
      <w:pPr>
        <w:spacing w:after="0" w:line="240" w:lineRule="auto"/>
        <w:rPr>
          <w:b/>
          <w:bCs/>
          <w:lang w:val="es-ES"/>
        </w:rPr>
      </w:pPr>
      <w:r>
        <w:rPr>
          <w:b/>
          <w:bCs/>
          <w:lang w:val="es-ES"/>
        </w:rPr>
        <w:t xml:space="preserve">480 </w:t>
      </w:r>
      <w:proofErr w:type="gramStart"/>
      <w:r>
        <w:rPr>
          <w:b/>
          <w:bCs/>
          <w:lang w:val="es-ES"/>
        </w:rPr>
        <w:t>Alta</w:t>
      </w:r>
      <w:proofErr w:type="gramEnd"/>
      <w:r>
        <w:rPr>
          <w:b/>
          <w:bCs/>
          <w:lang w:val="es-ES"/>
        </w:rPr>
        <w:t xml:space="preserve"> </w:t>
      </w:r>
      <w:proofErr w:type="spellStart"/>
      <w:r>
        <w:rPr>
          <w:b/>
          <w:bCs/>
          <w:lang w:val="es-ES"/>
        </w:rPr>
        <w:t>Rd</w:t>
      </w:r>
      <w:proofErr w:type="spellEnd"/>
      <w:r>
        <w:rPr>
          <w:b/>
          <w:bCs/>
          <w:lang w:val="es-ES"/>
        </w:rPr>
        <w:t>.</w:t>
      </w:r>
    </w:p>
    <w:p w14:paraId="32515EB4" w14:textId="77777777" w:rsidR="000F2633" w:rsidRPr="000F2633" w:rsidRDefault="000F2633" w:rsidP="000F2633">
      <w:pPr>
        <w:spacing w:after="0" w:line="240" w:lineRule="auto"/>
        <w:rPr>
          <w:b/>
          <w:bCs/>
        </w:rPr>
      </w:pPr>
      <w:r w:rsidRPr="000F2633">
        <w:rPr>
          <w:b/>
          <w:bCs/>
        </w:rPr>
        <w:t>San Diego, CA 92179</w:t>
      </w:r>
    </w:p>
    <w:p w14:paraId="76AADE41" w14:textId="77777777" w:rsidR="000F2633" w:rsidRDefault="000F2633" w:rsidP="000F2633">
      <w:pPr>
        <w:spacing w:after="0" w:line="240" w:lineRule="auto"/>
        <w:rPr>
          <w:b/>
          <w:bCs/>
        </w:rPr>
      </w:pPr>
    </w:p>
    <w:p w14:paraId="141D4CAA" w14:textId="77777777" w:rsidR="000F2633" w:rsidRDefault="000F2633" w:rsidP="000F2633">
      <w:pPr>
        <w:rPr>
          <w:b/>
          <w:bCs/>
        </w:rPr>
      </w:pPr>
    </w:p>
    <w:p w14:paraId="4312E2B6" w14:textId="77777777" w:rsidR="000F2633" w:rsidRPr="004013AE" w:rsidRDefault="000F2633" w:rsidP="000F2633">
      <w:pPr>
        <w:jc w:val="center"/>
        <w:rPr>
          <w:b/>
          <w:bCs/>
        </w:rPr>
      </w:pPr>
      <w:r>
        <w:rPr>
          <w:b/>
          <w:bCs/>
        </w:rPr>
        <w:t>FOURTH DISTRICT COURT OF APPEAL</w:t>
      </w:r>
    </w:p>
    <w:p w14:paraId="4690287F" w14:textId="77777777" w:rsidR="000F2633" w:rsidRDefault="000F2633" w:rsidP="000F2633">
      <w:pPr>
        <w:jc w:val="center"/>
        <w:rPr>
          <w:b/>
          <w:bCs/>
        </w:rPr>
      </w:pPr>
      <w:r>
        <w:rPr>
          <w:b/>
          <w:bCs/>
        </w:rPr>
        <w:t>DIVISION - TWO</w:t>
      </w:r>
    </w:p>
    <w:p w14:paraId="236E7BD0" w14:textId="77777777" w:rsidR="000F2633" w:rsidRDefault="000F2633" w:rsidP="000F263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F2633" w14:paraId="73D74192" w14:textId="77777777" w:rsidTr="00541836">
        <w:tc>
          <w:tcPr>
            <w:tcW w:w="4675" w:type="dxa"/>
            <w:tcBorders>
              <w:bottom w:val="single" w:sz="4" w:space="0" w:color="auto"/>
              <w:right w:val="single" w:sz="4" w:space="0" w:color="auto"/>
            </w:tcBorders>
          </w:tcPr>
          <w:p w14:paraId="60908EB6" w14:textId="77777777" w:rsidR="000F2633" w:rsidRDefault="000F2633" w:rsidP="00541836">
            <w:pPr>
              <w:spacing w:after="160" w:line="278" w:lineRule="auto"/>
              <w:jc w:val="center"/>
              <w:rPr>
                <w:b/>
                <w:bCs/>
              </w:rPr>
            </w:pPr>
            <w:r w:rsidRPr="003C42BB">
              <w:rPr>
                <w:b/>
                <w:bCs/>
              </w:rPr>
              <w:t>JOHN HENRY YABLONSKY</w:t>
            </w:r>
            <w:r>
              <w:rPr>
                <w:b/>
                <w:bCs/>
              </w:rPr>
              <w:t>,</w:t>
            </w:r>
          </w:p>
          <w:p w14:paraId="24BFC625" w14:textId="77777777" w:rsidR="000F2633" w:rsidRDefault="000F2633" w:rsidP="00541836">
            <w:pPr>
              <w:spacing w:after="160" w:line="278" w:lineRule="auto"/>
              <w:jc w:val="center"/>
            </w:pPr>
            <w:r>
              <w:t>APPELLANT</w:t>
            </w:r>
          </w:p>
          <w:p w14:paraId="6C212DBD" w14:textId="77777777" w:rsidR="000F2633" w:rsidRDefault="000F2633" w:rsidP="00541836">
            <w:pPr>
              <w:spacing w:after="160" w:line="278" w:lineRule="auto"/>
            </w:pPr>
            <w:r>
              <w:t>VS.</w:t>
            </w:r>
          </w:p>
          <w:p w14:paraId="4FE4A39F" w14:textId="77777777" w:rsidR="000F2633" w:rsidRPr="003C42BB" w:rsidRDefault="000F2633" w:rsidP="00541836">
            <w:pPr>
              <w:spacing w:after="160" w:line="278" w:lineRule="auto"/>
              <w:jc w:val="center"/>
              <w:rPr>
                <w:b/>
                <w:bCs/>
              </w:rPr>
            </w:pPr>
            <w:r w:rsidRPr="003C42BB">
              <w:rPr>
                <w:b/>
                <w:bCs/>
              </w:rPr>
              <w:t>PEOPLE OF CALIFORNIA</w:t>
            </w:r>
          </w:p>
          <w:p w14:paraId="1165DD43" w14:textId="77777777" w:rsidR="000F2633" w:rsidRDefault="000F2633" w:rsidP="00541836">
            <w:pPr>
              <w:spacing w:after="160" w:line="278" w:lineRule="auto"/>
              <w:jc w:val="center"/>
            </w:pPr>
            <w:r>
              <w:t>RESPONDENT</w:t>
            </w:r>
          </w:p>
          <w:p w14:paraId="0BE6064B" w14:textId="77777777" w:rsidR="000F2633" w:rsidRDefault="000F2633" w:rsidP="00541836"/>
        </w:tc>
        <w:tc>
          <w:tcPr>
            <w:tcW w:w="4675" w:type="dxa"/>
            <w:tcBorders>
              <w:left w:val="single" w:sz="4" w:space="0" w:color="auto"/>
            </w:tcBorders>
          </w:tcPr>
          <w:p w14:paraId="128C3282" w14:textId="77777777" w:rsidR="000F2633" w:rsidRDefault="000F2633" w:rsidP="00541836">
            <w:r w:rsidRPr="003C42BB">
              <w:t xml:space="preserve">Case No.: </w:t>
            </w:r>
            <w:r>
              <w:t>E087752</w:t>
            </w:r>
          </w:p>
          <w:p w14:paraId="277A4EBD" w14:textId="77777777" w:rsidR="000F2633" w:rsidRDefault="000F2633" w:rsidP="00541836">
            <w:r>
              <w:t>Trial record # FVI900518</w:t>
            </w:r>
          </w:p>
          <w:p w14:paraId="1A2B7444" w14:textId="77777777" w:rsidR="000F2633" w:rsidRDefault="000F2633" w:rsidP="00541836"/>
          <w:p w14:paraId="101812BF" w14:textId="77777777" w:rsidR="000F2633" w:rsidRDefault="000F2633" w:rsidP="00541836"/>
          <w:p w14:paraId="0693EC27" w14:textId="193CB32B" w:rsidR="000F2633" w:rsidRDefault="000F2633" w:rsidP="00541836">
            <w:r>
              <w:rPr>
                <w:b/>
                <w:bCs/>
              </w:rPr>
              <w:t xml:space="preserve">REPLY </w:t>
            </w:r>
            <w:r w:rsidRPr="00F55A60">
              <w:rPr>
                <w:b/>
                <w:bCs/>
              </w:rPr>
              <w:t>S</w:t>
            </w:r>
            <w:r>
              <w:rPr>
                <w:b/>
                <w:bCs/>
              </w:rPr>
              <w:t>UPPLEMENTAL BRIEF</w:t>
            </w:r>
          </w:p>
        </w:tc>
      </w:tr>
    </w:tbl>
    <w:p w14:paraId="23FB8117" w14:textId="77777777" w:rsidR="000F2633" w:rsidRDefault="000F2633" w:rsidP="000F2633"/>
    <w:p w14:paraId="3BD77725" w14:textId="77777777" w:rsidR="00101721" w:rsidRDefault="00101721" w:rsidP="00101721"/>
    <w:p w14:paraId="540288AD" w14:textId="77777777" w:rsidR="00101721" w:rsidRDefault="00101721" w:rsidP="00101721">
      <w:pPr>
        <w:spacing w:after="0" w:line="240" w:lineRule="auto"/>
        <w:jc w:val="center"/>
        <w:rPr>
          <w:b/>
          <w:bCs/>
        </w:rPr>
      </w:pPr>
      <w:r>
        <w:rPr>
          <w:b/>
          <w:bCs/>
        </w:rPr>
        <w:t>TO:  JUSTICES OF THE COURT AND THE ATTORNEY GENERAL</w:t>
      </w:r>
    </w:p>
    <w:p w14:paraId="00424492" w14:textId="77777777" w:rsidR="00101721" w:rsidRDefault="00101721" w:rsidP="00101721">
      <w:pPr>
        <w:spacing w:after="0" w:line="240" w:lineRule="auto"/>
        <w:rPr>
          <w:b/>
          <w:bCs/>
        </w:rPr>
      </w:pPr>
    </w:p>
    <w:p w14:paraId="3461D3F1" w14:textId="3608B537" w:rsidR="000F2633" w:rsidRDefault="00101721" w:rsidP="00101721">
      <w:pPr>
        <w:spacing w:after="0" w:line="480" w:lineRule="auto"/>
      </w:pPr>
      <w:r w:rsidRPr="000B7933">
        <w:tab/>
        <w:t>If it pleases the court</w:t>
      </w:r>
      <w:r>
        <w:t xml:space="preserve"> John Henry Yablonsky (APPELLANT) now moves the court </w:t>
      </w:r>
      <w:r>
        <w:t>in reply to the Attorney General’s opening brief, realigning this court with points of legal authority which the Attorney General grossly misstates. It is incumbent that this court as well at the Attorney General take judicial notice of reports filed herein created by the court’s expert witness, which exclusively establishes that the People’s entire case was fundamentally flawed based on extrinsic and intrinsic fraud committed by the District Attorney’s office in the original trial. If not for those frauds the jury would have come to a completely different conclusion.</w:t>
      </w:r>
    </w:p>
    <w:p w14:paraId="61A14520" w14:textId="77777777" w:rsidR="00101721" w:rsidRDefault="00101721" w:rsidP="00101721">
      <w:pPr>
        <w:spacing w:after="0" w:line="480" w:lineRule="auto"/>
      </w:pPr>
    </w:p>
    <w:p w14:paraId="760BD7F9" w14:textId="77777777" w:rsidR="000F2633" w:rsidRPr="00940ECC" w:rsidRDefault="000F2633" w:rsidP="000F2633">
      <w:pPr>
        <w:rPr>
          <w:b/>
          <w:bCs/>
        </w:rPr>
      </w:pPr>
      <w:r w:rsidRPr="00940ECC">
        <w:rPr>
          <w:b/>
          <w:bCs/>
        </w:rPr>
        <w:lastRenderedPageBreak/>
        <w:t>IN THE COURT OF APPEAL</w:t>
      </w:r>
    </w:p>
    <w:p w14:paraId="3F697028" w14:textId="77777777" w:rsidR="000F2633" w:rsidRPr="00940ECC" w:rsidRDefault="000F2633" w:rsidP="000F2633">
      <w:r w:rsidRPr="00940ECC">
        <w:t>Case No. E087752</w:t>
      </w:r>
    </w:p>
    <w:p w14:paraId="4B007C62" w14:textId="77777777" w:rsidR="000F2633" w:rsidRPr="00940ECC" w:rsidRDefault="000F2633" w:rsidP="000F2633">
      <w:pPr>
        <w:rPr>
          <w:b/>
          <w:bCs/>
        </w:rPr>
      </w:pPr>
      <w:r w:rsidRPr="00940ECC">
        <w:rPr>
          <w:b/>
          <w:bCs/>
        </w:rPr>
        <w:t>APPELLANT’S REPLY BRIEF</w:t>
      </w:r>
    </w:p>
    <w:p w14:paraId="6CB08AE0" w14:textId="77777777" w:rsidR="000F2633" w:rsidRPr="00940ECC" w:rsidRDefault="000F2633" w:rsidP="000F2633">
      <w:r w:rsidRPr="00940ECC">
        <w:pict w14:anchorId="5DDE0C3A">
          <v:rect id="_x0000_i1026" style="width:0;height:1.5pt" o:hralign="center" o:hrstd="t" o:hr="t" fillcolor="#a0a0a0" stroked="f"/>
        </w:pict>
      </w:r>
    </w:p>
    <w:p w14:paraId="4BCC93F5" w14:textId="77777777" w:rsidR="000F2633" w:rsidRPr="00940ECC" w:rsidRDefault="000F2633" w:rsidP="000F2633">
      <w:pPr>
        <w:rPr>
          <w:b/>
          <w:bCs/>
        </w:rPr>
      </w:pPr>
      <w:r w:rsidRPr="00940ECC">
        <w:rPr>
          <w:b/>
          <w:bCs/>
        </w:rPr>
        <w:t>I. The Attorney General Misstates the Prima Facie Standard</w:t>
      </w:r>
    </w:p>
    <w:p w14:paraId="0254FD18" w14:textId="77777777" w:rsidR="000F2633" w:rsidRPr="00940ECC" w:rsidRDefault="000F2633" w:rsidP="000F2633">
      <w:r w:rsidRPr="00940ECC">
        <w:t>Respondent argues the record establishes Appellant as the actual killer.</w:t>
      </w:r>
    </w:p>
    <w:p w14:paraId="117E2217" w14:textId="77777777" w:rsidR="000F2633" w:rsidRPr="00940ECC" w:rsidRDefault="000F2633" w:rsidP="000F2633">
      <w:r w:rsidRPr="00940ECC">
        <w:t>Under Patton, the court may not resolve disputed factual issues at the prima facie stage.</w:t>
      </w:r>
    </w:p>
    <w:p w14:paraId="2EEE91D1" w14:textId="77777777" w:rsidR="000F2633" w:rsidRPr="00940ECC" w:rsidRDefault="000F2633" w:rsidP="000F2633">
      <w:r w:rsidRPr="00940ECC">
        <w:t>Respondent’s argument invites impermissible fact-finding.</w:t>
      </w:r>
    </w:p>
    <w:p w14:paraId="115CD805" w14:textId="77777777" w:rsidR="000F2633" w:rsidRPr="00940ECC" w:rsidRDefault="000F2633" w:rsidP="000F2633">
      <w:r w:rsidRPr="00940ECC">
        <w:pict w14:anchorId="2A87F55F">
          <v:rect id="_x0000_i1027" style="width:0;height:1.5pt" o:hralign="center" o:hrstd="t" o:hr="t" fillcolor="#a0a0a0" stroked="f"/>
        </w:pict>
      </w:r>
    </w:p>
    <w:p w14:paraId="31D7EA2B" w14:textId="77777777" w:rsidR="000F2633" w:rsidRPr="00940ECC" w:rsidRDefault="000F2633" w:rsidP="000F2633">
      <w:pPr>
        <w:rPr>
          <w:b/>
          <w:bCs/>
        </w:rPr>
      </w:pPr>
      <w:r w:rsidRPr="00940ECC">
        <w:rPr>
          <w:b/>
          <w:bCs/>
        </w:rPr>
        <w:t>II. The Sole Perpetrator Argument Remains Legally Incorrect</w:t>
      </w:r>
    </w:p>
    <w:p w14:paraId="433F4FDC" w14:textId="77777777" w:rsidR="000F2633" w:rsidRPr="00940ECC" w:rsidRDefault="000F2633" w:rsidP="000F2633">
      <w:r w:rsidRPr="00940ECC">
        <w:t>Respondent claims charging posture controls eligibility.</w:t>
      </w:r>
    </w:p>
    <w:p w14:paraId="6EE77566" w14:textId="77777777" w:rsidR="000F2633" w:rsidRPr="00940ECC" w:rsidRDefault="000F2633" w:rsidP="000F2633">
      <w:r w:rsidRPr="00940ECC">
        <w:t>Strong makes clear that prior findings do not bar review.</w:t>
      </w:r>
    </w:p>
    <w:p w14:paraId="408FB906" w14:textId="77777777" w:rsidR="000F2633" w:rsidRPr="00940ECC" w:rsidRDefault="000F2633" w:rsidP="000F2633">
      <w:r w:rsidRPr="00940ECC">
        <w:t>Eligibility turns on current law, not charging theory.</w:t>
      </w:r>
    </w:p>
    <w:p w14:paraId="64B9F577" w14:textId="77777777" w:rsidR="000F2633" w:rsidRPr="00940ECC" w:rsidRDefault="000F2633" w:rsidP="000F2633">
      <w:r w:rsidRPr="00940ECC">
        <w:pict w14:anchorId="3CDD115B">
          <v:rect id="_x0000_i1028" style="width:0;height:1.5pt" o:hralign="center" o:hrstd="t" o:hr="t" fillcolor="#a0a0a0" stroked="f"/>
        </w:pict>
      </w:r>
    </w:p>
    <w:p w14:paraId="4D0AD1B6" w14:textId="77777777" w:rsidR="000F2633" w:rsidRPr="00940ECC" w:rsidRDefault="000F2633" w:rsidP="000F2633">
      <w:pPr>
        <w:rPr>
          <w:b/>
          <w:bCs/>
        </w:rPr>
      </w:pPr>
      <w:r w:rsidRPr="00940ECC">
        <w:rPr>
          <w:b/>
          <w:bCs/>
        </w:rPr>
        <w:t>III. False Evidence and Destruction Are Not “Irrelevant”</w:t>
      </w:r>
    </w:p>
    <w:p w14:paraId="331C1A25" w14:textId="77777777" w:rsidR="000F2633" w:rsidRPr="00940ECC" w:rsidRDefault="000F2633" w:rsidP="000F2633">
      <w:proofErr w:type="gramStart"/>
      <w:r w:rsidRPr="00940ECC">
        <w:t>Respondent</w:t>
      </w:r>
      <w:proofErr w:type="gramEnd"/>
      <w:r w:rsidRPr="00940ECC">
        <w:t xml:space="preserve"> may argue these issues belong in habeas.</w:t>
      </w:r>
    </w:p>
    <w:p w14:paraId="5823CDEA" w14:textId="77777777" w:rsidR="000F2633" w:rsidRPr="00940ECC" w:rsidRDefault="000F2633" w:rsidP="000F2633">
      <w:r w:rsidRPr="00940ECC">
        <w:t>False evidence directly affects eligibility because it undermines whether Appellant could be convicted under current law.</w:t>
      </w:r>
    </w:p>
    <w:p w14:paraId="709F66FE" w14:textId="77777777" w:rsidR="000F2633" w:rsidRPr="00940ECC" w:rsidRDefault="000F2633" w:rsidP="000F2633">
      <w:r w:rsidRPr="00940ECC">
        <w:t>The trial court had jurisdiction to consider it.</w:t>
      </w:r>
    </w:p>
    <w:p w14:paraId="2E3F0813" w14:textId="77777777" w:rsidR="000F2633" w:rsidRPr="00940ECC" w:rsidRDefault="000F2633" w:rsidP="000F2633">
      <w:r w:rsidRPr="00940ECC">
        <w:pict w14:anchorId="07EFB3B8">
          <v:rect id="_x0000_i1029" style="width:0;height:1.5pt" o:hralign="center" o:hrstd="t" o:hr="t" fillcolor="#a0a0a0" stroked="f"/>
        </w:pict>
      </w:r>
    </w:p>
    <w:p w14:paraId="432586A9" w14:textId="77777777" w:rsidR="000F2633" w:rsidRPr="00940ECC" w:rsidRDefault="000F2633" w:rsidP="000F2633">
      <w:pPr>
        <w:rPr>
          <w:b/>
          <w:bCs/>
        </w:rPr>
      </w:pPr>
      <w:r w:rsidRPr="00940ECC">
        <w:rPr>
          <w:b/>
          <w:bCs/>
        </w:rPr>
        <w:t>IV. The Trial Court’s Refusal to Consider Expert Reports Was Legal Error</w:t>
      </w:r>
    </w:p>
    <w:p w14:paraId="11ABDF5C" w14:textId="77777777" w:rsidR="000F2633" w:rsidRPr="00940ECC" w:rsidRDefault="000F2633" w:rsidP="000F2633">
      <w:proofErr w:type="gramStart"/>
      <w:r w:rsidRPr="00940ECC">
        <w:t>Respondent</w:t>
      </w:r>
      <w:proofErr w:type="gramEnd"/>
      <w:r w:rsidRPr="00940ECC">
        <w:t xml:space="preserve"> may argue the evidence was conclusory.</w:t>
      </w:r>
    </w:p>
    <w:p w14:paraId="09A4775C" w14:textId="77777777" w:rsidR="000F2633" w:rsidRPr="00940ECC" w:rsidRDefault="000F2633" w:rsidP="000F2633">
      <w:r w:rsidRPr="00940ECC">
        <w:t>The reports were detailed forensic analyses.</w:t>
      </w:r>
    </w:p>
    <w:p w14:paraId="0583BAF9" w14:textId="77777777" w:rsidR="000F2633" w:rsidRPr="00940ECC" w:rsidRDefault="000F2633" w:rsidP="000F2633">
      <w:r w:rsidRPr="00940ECC">
        <w:t>Under Patton, they must be accepted as true at prima facie stage.</w:t>
      </w:r>
    </w:p>
    <w:p w14:paraId="6F35C7A6" w14:textId="77777777" w:rsidR="009049C3" w:rsidRDefault="009049C3" w:rsidP="000F2633"/>
    <w:p w14:paraId="13B47E15" w14:textId="77777777" w:rsidR="009049C3" w:rsidRDefault="009049C3" w:rsidP="000F2633"/>
    <w:p w14:paraId="074006BD" w14:textId="77777777" w:rsidR="009049C3" w:rsidRDefault="009049C3" w:rsidP="009049C3"/>
    <w:p w14:paraId="3E4F4239" w14:textId="77777777" w:rsidR="009049C3" w:rsidRDefault="009049C3" w:rsidP="009049C3"/>
    <w:p w14:paraId="01AC5C14" w14:textId="77777777" w:rsidR="009049C3" w:rsidRDefault="009049C3" w:rsidP="009049C3">
      <w:pPr>
        <w:jc w:val="center"/>
      </w:pPr>
      <w:r>
        <w:t>VERIFICATION</w:t>
      </w:r>
    </w:p>
    <w:p w14:paraId="4C5516CC" w14:textId="77777777" w:rsidR="009049C3" w:rsidRDefault="009049C3" w:rsidP="009049C3"/>
    <w:p w14:paraId="77587E67" w14:textId="77777777" w:rsidR="009049C3" w:rsidRDefault="009049C3" w:rsidP="009049C3">
      <w:pPr>
        <w:spacing w:line="480" w:lineRule="auto"/>
      </w:pPr>
      <w:r>
        <w:t xml:space="preserve">I John Henry Yablonsky, an adult party to this action </w:t>
      </w:r>
      <w:proofErr w:type="gramStart"/>
      <w:r>
        <w:t>declare</w:t>
      </w:r>
      <w:proofErr w:type="gramEnd"/>
      <w:r>
        <w:t xml:space="preserve"> under penalty </w:t>
      </w:r>
      <w:proofErr w:type="spellStart"/>
      <w:r>
        <w:t>or</w:t>
      </w:r>
      <w:proofErr w:type="spellEnd"/>
      <w:r>
        <w:t xml:space="preserve"> perjury the forgoing facts are true and accurate according to belief and knowledge.</w:t>
      </w:r>
    </w:p>
    <w:p w14:paraId="18F634A6" w14:textId="77777777" w:rsidR="009049C3" w:rsidRDefault="009049C3" w:rsidP="009049C3">
      <w:pPr>
        <w:spacing w:line="480" w:lineRule="auto"/>
      </w:pPr>
    </w:p>
    <w:p w14:paraId="384E8844" w14:textId="77777777" w:rsidR="009049C3" w:rsidRDefault="009049C3" w:rsidP="009049C3">
      <w:pPr>
        <w:spacing w:line="480" w:lineRule="auto"/>
      </w:pPr>
    </w:p>
    <w:p w14:paraId="37CE68E1" w14:textId="77777777" w:rsidR="009049C3" w:rsidRDefault="009049C3" w:rsidP="009049C3">
      <w:pPr>
        <w:spacing w:line="480" w:lineRule="auto"/>
      </w:pPr>
    </w:p>
    <w:p w14:paraId="049A40DB" w14:textId="77777777" w:rsidR="009049C3" w:rsidRDefault="009049C3" w:rsidP="009049C3">
      <w:pPr>
        <w:spacing w:line="480" w:lineRule="auto"/>
        <w:jc w:val="center"/>
      </w:pPr>
      <w:r>
        <w:t xml:space="preserve">Date: _________________________    </w:t>
      </w:r>
      <w:r>
        <w:tab/>
      </w:r>
      <w:r>
        <w:tab/>
      </w:r>
      <w:r>
        <w:tab/>
      </w:r>
      <w:r>
        <w:tab/>
      </w:r>
      <w:r>
        <w:tab/>
        <w:t>John Henry Yablonsky</w:t>
      </w:r>
    </w:p>
    <w:p w14:paraId="2CB6BF1E" w14:textId="77777777" w:rsidR="009049C3" w:rsidRDefault="009049C3" w:rsidP="009049C3"/>
    <w:p w14:paraId="4A9A24F5" w14:textId="77777777" w:rsidR="000F2633" w:rsidRDefault="000F2633" w:rsidP="000F2633"/>
    <w:p w14:paraId="26E1EA40" w14:textId="77777777" w:rsidR="00A778DA" w:rsidRDefault="00A778DA"/>
    <w:sectPr w:rsidR="00A778D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7AEB2" w14:textId="77777777" w:rsidR="00BC7319" w:rsidRDefault="00BC7319" w:rsidP="009049C3">
      <w:pPr>
        <w:spacing w:after="0" w:line="240" w:lineRule="auto"/>
      </w:pPr>
      <w:r>
        <w:separator/>
      </w:r>
    </w:p>
  </w:endnote>
  <w:endnote w:type="continuationSeparator" w:id="0">
    <w:p w14:paraId="68EF749A" w14:textId="77777777" w:rsidR="00BC7319" w:rsidRDefault="00BC7319" w:rsidP="00904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0181335"/>
      <w:docPartObj>
        <w:docPartGallery w:val="Page Numbers (Bottom of Page)"/>
        <w:docPartUnique/>
      </w:docPartObj>
    </w:sdtPr>
    <w:sdtContent>
      <w:sdt>
        <w:sdtPr>
          <w:id w:val="1728636285"/>
          <w:docPartObj>
            <w:docPartGallery w:val="Page Numbers (Top of Page)"/>
            <w:docPartUnique/>
          </w:docPartObj>
        </w:sdtPr>
        <w:sdtContent>
          <w:p w14:paraId="7C4140C9" w14:textId="10411704" w:rsidR="009049C3" w:rsidRDefault="009049C3" w:rsidP="001163AD">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DF5D7B1" w14:textId="77777777" w:rsidR="009049C3" w:rsidRDefault="00904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7A71B" w14:textId="77777777" w:rsidR="00BC7319" w:rsidRDefault="00BC7319" w:rsidP="009049C3">
      <w:pPr>
        <w:spacing w:after="0" w:line="240" w:lineRule="auto"/>
      </w:pPr>
      <w:r>
        <w:separator/>
      </w:r>
    </w:p>
  </w:footnote>
  <w:footnote w:type="continuationSeparator" w:id="0">
    <w:p w14:paraId="2BFA6375" w14:textId="77777777" w:rsidR="00BC7319" w:rsidRDefault="00BC7319" w:rsidP="009049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E22DB"/>
    <w:multiLevelType w:val="multilevel"/>
    <w:tmpl w:val="AA18E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6058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633"/>
    <w:rsid w:val="000F2633"/>
    <w:rsid w:val="00101721"/>
    <w:rsid w:val="001163AD"/>
    <w:rsid w:val="00152728"/>
    <w:rsid w:val="009049C3"/>
    <w:rsid w:val="00A778DA"/>
    <w:rsid w:val="00AD7D9F"/>
    <w:rsid w:val="00BC7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D9D14"/>
  <w15:chartTrackingRefBased/>
  <w15:docId w15:val="{CC6B981F-3B64-4284-BEBC-45BA9DBB2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633"/>
  </w:style>
  <w:style w:type="paragraph" w:styleId="Heading1">
    <w:name w:val="heading 1"/>
    <w:basedOn w:val="Normal"/>
    <w:next w:val="Normal"/>
    <w:link w:val="Heading1Char"/>
    <w:uiPriority w:val="9"/>
    <w:qFormat/>
    <w:rsid w:val="000F26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6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6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6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6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6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6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6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6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6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6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6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6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6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6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6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6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633"/>
    <w:rPr>
      <w:rFonts w:eastAsiaTheme="majorEastAsia" w:cstheme="majorBidi"/>
      <w:color w:val="272727" w:themeColor="text1" w:themeTint="D8"/>
    </w:rPr>
  </w:style>
  <w:style w:type="paragraph" w:styleId="Title">
    <w:name w:val="Title"/>
    <w:basedOn w:val="Normal"/>
    <w:next w:val="Normal"/>
    <w:link w:val="TitleChar"/>
    <w:uiPriority w:val="10"/>
    <w:qFormat/>
    <w:rsid w:val="000F26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6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6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6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633"/>
    <w:pPr>
      <w:spacing w:before="160"/>
      <w:jc w:val="center"/>
    </w:pPr>
    <w:rPr>
      <w:i/>
      <w:iCs/>
      <w:color w:val="404040" w:themeColor="text1" w:themeTint="BF"/>
    </w:rPr>
  </w:style>
  <w:style w:type="character" w:customStyle="1" w:styleId="QuoteChar">
    <w:name w:val="Quote Char"/>
    <w:basedOn w:val="DefaultParagraphFont"/>
    <w:link w:val="Quote"/>
    <w:uiPriority w:val="29"/>
    <w:rsid w:val="000F2633"/>
    <w:rPr>
      <w:i/>
      <w:iCs/>
      <w:color w:val="404040" w:themeColor="text1" w:themeTint="BF"/>
    </w:rPr>
  </w:style>
  <w:style w:type="paragraph" w:styleId="ListParagraph">
    <w:name w:val="List Paragraph"/>
    <w:basedOn w:val="Normal"/>
    <w:uiPriority w:val="34"/>
    <w:qFormat/>
    <w:rsid w:val="000F2633"/>
    <w:pPr>
      <w:ind w:left="720"/>
      <w:contextualSpacing/>
    </w:pPr>
  </w:style>
  <w:style w:type="character" w:styleId="IntenseEmphasis">
    <w:name w:val="Intense Emphasis"/>
    <w:basedOn w:val="DefaultParagraphFont"/>
    <w:uiPriority w:val="21"/>
    <w:qFormat/>
    <w:rsid w:val="000F2633"/>
    <w:rPr>
      <w:i/>
      <w:iCs/>
      <w:color w:val="0F4761" w:themeColor="accent1" w:themeShade="BF"/>
    </w:rPr>
  </w:style>
  <w:style w:type="paragraph" w:styleId="IntenseQuote">
    <w:name w:val="Intense Quote"/>
    <w:basedOn w:val="Normal"/>
    <w:next w:val="Normal"/>
    <w:link w:val="IntenseQuoteChar"/>
    <w:uiPriority w:val="30"/>
    <w:qFormat/>
    <w:rsid w:val="000F26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633"/>
    <w:rPr>
      <w:i/>
      <w:iCs/>
      <w:color w:val="0F4761" w:themeColor="accent1" w:themeShade="BF"/>
    </w:rPr>
  </w:style>
  <w:style w:type="character" w:styleId="IntenseReference">
    <w:name w:val="Intense Reference"/>
    <w:basedOn w:val="DefaultParagraphFont"/>
    <w:uiPriority w:val="32"/>
    <w:qFormat/>
    <w:rsid w:val="000F2633"/>
    <w:rPr>
      <w:b/>
      <w:bCs/>
      <w:smallCaps/>
      <w:color w:val="0F4761" w:themeColor="accent1" w:themeShade="BF"/>
      <w:spacing w:val="5"/>
    </w:rPr>
  </w:style>
  <w:style w:type="table" w:styleId="TableGrid">
    <w:name w:val="Table Grid"/>
    <w:basedOn w:val="TableNormal"/>
    <w:uiPriority w:val="39"/>
    <w:rsid w:val="000F2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49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9C3"/>
  </w:style>
  <w:style w:type="paragraph" w:styleId="Footer">
    <w:name w:val="footer"/>
    <w:basedOn w:val="Normal"/>
    <w:link w:val="FooterChar"/>
    <w:uiPriority w:val="99"/>
    <w:unhideWhenUsed/>
    <w:rsid w:val="009049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332</Words>
  <Characters>1974</Characters>
  <Application>Microsoft Office Word</Application>
  <DocSecurity>0</DocSecurity>
  <Lines>61</Lines>
  <Paragraphs>45</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Yablonsky</dc:creator>
  <cp:keywords/>
  <dc:description/>
  <cp:lastModifiedBy>Ken Yablonsky</cp:lastModifiedBy>
  <cp:revision>4</cp:revision>
  <dcterms:created xsi:type="dcterms:W3CDTF">2026-02-17T03:19:00Z</dcterms:created>
  <dcterms:modified xsi:type="dcterms:W3CDTF">2026-02-17T03:34:00Z</dcterms:modified>
</cp:coreProperties>
</file>