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5917" w14:textId="09AFC9E7" w:rsidR="003C42BB" w:rsidRPr="00F55A60" w:rsidRDefault="003C42BB" w:rsidP="003C42BB">
      <w:pPr>
        <w:spacing w:after="0" w:line="240" w:lineRule="auto"/>
        <w:rPr>
          <w:b/>
          <w:bCs/>
          <w:lang w:val="es-ES"/>
        </w:rPr>
      </w:pPr>
      <w:r w:rsidRPr="00F55A60">
        <w:rPr>
          <w:b/>
          <w:bCs/>
          <w:lang w:val="es-ES"/>
        </w:rPr>
        <w:t>John Henry Yablonsky</w:t>
      </w:r>
    </w:p>
    <w:p w14:paraId="5A2F58B3" w14:textId="32CF100C" w:rsidR="003C42BB" w:rsidRPr="00F55A60" w:rsidRDefault="003C42BB" w:rsidP="003C42BB">
      <w:pPr>
        <w:spacing w:after="0" w:line="240" w:lineRule="auto"/>
        <w:rPr>
          <w:b/>
          <w:bCs/>
          <w:lang w:val="es-ES"/>
        </w:rPr>
      </w:pPr>
      <w:r w:rsidRPr="00F55A60">
        <w:rPr>
          <w:b/>
          <w:bCs/>
          <w:lang w:val="es-ES"/>
        </w:rPr>
        <w:t># AL0373</w:t>
      </w:r>
    </w:p>
    <w:p w14:paraId="051B5E52" w14:textId="2C2A6928" w:rsidR="003C42BB" w:rsidRPr="00F55A60" w:rsidRDefault="00F55A60" w:rsidP="003C42BB">
      <w:pPr>
        <w:spacing w:after="0" w:line="240" w:lineRule="auto"/>
        <w:rPr>
          <w:b/>
          <w:bCs/>
          <w:lang w:val="es-ES"/>
        </w:rPr>
      </w:pPr>
      <w:r>
        <w:rPr>
          <w:b/>
          <w:bCs/>
          <w:lang w:val="es-ES"/>
        </w:rPr>
        <w:t xml:space="preserve">480 Alta </w:t>
      </w:r>
      <w:proofErr w:type="spellStart"/>
      <w:r>
        <w:rPr>
          <w:b/>
          <w:bCs/>
          <w:lang w:val="es-ES"/>
        </w:rPr>
        <w:t>Rd</w:t>
      </w:r>
      <w:proofErr w:type="spellEnd"/>
      <w:r>
        <w:rPr>
          <w:b/>
          <w:bCs/>
          <w:lang w:val="es-ES"/>
        </w:rPr>
        <w:t>.</w:t>
      </w:r>
    </w:p>
    <w:p w14:paraId="4B96C737" w14:textId="4037F5C4" w:rsidR="003C42BB" w:rsidRPr="00F55A60" w:rsidRDefault="00F55A60" w:rsidP="003C42BB">
      <w:pPr>
        <w:spacing w:after="0" w:line="240" w:lineRule="auto"/>
        <w:rPr>
          <w:b/>
          <w:bCs/>
          <w:lang w:val="es-ES"/>
        </w:rPr>
      </w:pPr>
      <w:r>
        <w:rPr>
          <w:b/>
          <w:bCs/>
          <w:lang w:val="es-ES"/>
        </w:rPr>
        <w:t xml:space="preserve">San Diego, </w:t>
      </w:r>
      <w:r w:rsidR="003C42BB" w:rsidRPr="00F55A60">
        <w:rPr>
          <w:b/>
          <w:bCs/>
          <w:lang w:val="es-ES"/>
        </w:rPr>
        <w:t>CA 9</w:t>
      </w:r>
      <w:r>
        <w:rPr>
          <w:b/>
          <w:bCs/>
          <w:lang w:val="es-ES"/>
        </w:rPr>
        <w:t>2179</w:t>
      </w:r>
    </w:p>
    <w:p w14:paraId="087B075C" w14:textId="3671E63D" w:rsidR="009D6C65" w:rsidRDefault="009D6C65" w:rsidP="003C42BB">
      <w:pPr>
        <w:spacing w:after="0" w:line="240" w:lineRule="auto"/>
        <w:rPr>
          <w:b/>
          <w:bCs/>
        </w:rPr>
      </w:pPr>
    </w:p>
    <w:p w14:paraId="7DBA8013" w14:textId="77777777" w:rsidR="003C42BB" w:rsidRDefault="003C42BB" w:rsidP="003C42BB">
      <w:pPr>
        <w:rPr>
          <w:b/>
          <w:bCs/>
        </w:rPr>
      </w:pPr>
    </w:p>
    <w:p w14:paraId="44D1AEF5" w14:textId="1A557665" w:rsidR="004013AE" w:rsidRPr="004013AE" w:rsidRDefault="00F55A60" w:rsidP="004013AE">
      <w:pPr>
        <w:jc w:val="center"/>
        <w:rPr>
          <w:b/>
          <w:bCs/>
        </w:rPr>
      </w:pPr>
      <w:r>
        <w:rPr>
          <w:b/>
          <w:bCs/>
        </w:rPr>
        <w:t>FOURTH DISTRICT COURT OF APPEAL</w:t>
      </w:r>
    </w:p>
    <w:p w14:paraId="1850DEB4" w14:textId="478653A7" w:rsidR="003C42BB" w:rsidRDefault="00F55A60" w:rsidP="004013AE">
      <w:pPr>
        <w:jc w:val="center"/>
        <w:rPr>
          <w:b/>
          <w:bCs/>
        </w:rPr>
      </w:pPr>
      <w:r>
        <w:rPr>
          <w:b/>
          <w:bCs/>
        </w:rPr>
        <w:t>DIVISION - TWO</w:t>
      </w:r>
    </w:p>
    <w:p w14:paraId="6D1E1C60" w14:textId="77777777" w:rsidR="003C42BB" w:rsidRDefault="003C42BB" w:rsidP="003C42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013AE" w14:paraId="5BC465DD" w14:textId="77777777" w:rsidTr="004013AE">
        <w:tc>
          <w:tcPr>
            <w:tcW w:w="4675" w:type="dxa"/>
            <w:tcBorders>
              <w:bottom w:val="single" w:sz="4" w:space="0" w:color="auto"/>
              <w:right w:val="single" w:sz="4" w:space="0" w:color="auto"/>
            </w:tcBorders>
          </w:tcPr>
          <w:p w14:paraId="5770294C" w14:textId="48C15473" w:rsidR="004013AE" w:rsidRDefault="004013AE" w:rsidP="004013AE">
            <w:pPr>
              <w:spacing w:after="160" w:line="278" w:lineRule="auto"/>
              <w:jc w:val="center"/>
              <w:rPr>
                <w:b/>
                <w:bCs/>
              </w:rPr>
            </w:pPr>
            <w:r w:rsidRPr="003C42BB">
              <w:rPr>
                <w:b/>
                <w:bCs/>
              </w:rPr>
              <w:t>JOHN HENRY YABLONSKY</w:t>
            </w:r>
            <w:r>
              <w:rPr>
                <w:b/>
                <w:bCs/>
              </w:rPr>
              <w:t>,</w:t>
            </w:r>
          </w:p>
          <w:p w14:paraId="75F8D1CC" w14:textId="0128BB9E" w:rsidR="004013AE" w:rsidRDefault="00F55A60" w:rsidP="004013AE">
            <w:pPr>
              <w:spacing w:after="160" w:line="278" w:lineRule="auto"/>
              <w:jc w:val="center"/>
            </w:pPr>
            <w:r>
              <w:t>APPELLANT</w:t>
            </w:r>
          </w:p>
          <w:p w14:paraId="3E5CF02E" w14:textId="0008A094" w:rsidR="004013AE" w:rsidRDefault="004013AE" w:rsidP="004013AE">
            <w:pPr>
              <w:spacing w:after="160" w:line="278" w:lineRule="auto"/>
            </w:pPr>
            <w:r>
              <w:t>VS.</w:t>
            </w:r>
          </w:p>
          <w:p w14:paraId="0E11C5E5" w14:textId="12B2526D" w:rsidR="004013AE" w:rsidRPr="003C42BB" w:rsidRDefault="004013AE" w:rsidP="004013AE">
            <w:pPr>
              <w:spacing w:after="160" w:line="278" w:lineRule="auto"/>
              <w:jc w:val="center"/>
              <w:rPr>
                <w:b/>
                <w:bCs/>
              </w:rPr>
            </w:pPr>
            <w:r w:rsidRPr="003C42BB">
              <w:rPr>
                <w:b/>
                <w:bCs/>
              </w:rPr>
              <w:t>PEOPLE OF CALIFORNIA</w:t>
            </w:r>
          </w:p>
          <w:p w14:paraId="46D3C41C" w14:textId="23E912C2" w:rsidR="004013AE" w:rsidRDefault="004013AE" w:rsidP="004013AE">
            <w:pPr>
              <w:spacing w:after="160" w:line="278" w:lineRule="auto"/>
              <w:jc w:val="center"/>
            </w:pPr>
            <w:r>
              <w:t>RESPONDENT</w:t>
            </w:r>
          </w:p>
          <w:p w14:paraId="403440EB" w14:textId="77777777" w:rsidR="004013AE" w:rsidRDefault="004013AE" w:rsidP="003C42BB"/>
        </w:tc>
        <w:tc>
          <w:tcPr>
            <w:tcW w:w="4675" w:type="dxa"/>
            <w:tcBorders>
              <w:left w:val="single" w:sz="4" w:space="0" w:color="auto"/>
            </w:tcBorders>
          </w:tcPr>
          <w:p w14:paraId="0D192EA5" w14:textId="3C6F79CB" w:rsidR="004013AE" w:rsidRDefault="004013AE" w:rsidP="004013AE">
            <w:r w:rsidRPr="003C42BB">
              <w:t xml:space="preserve">Case No.: </w:t>
            </w:r>
            <w:r w:rsidR="00F55A60">
              <w:t>E087752</w:t>
            </w:r>
          </w:p>
          <w:p w14:paraId="74DF34EC" w14:textId="4A44E015" w:rsidR="004013AE" w:rsidRDefault="00F55A60" w:rsidP="003C42BB">
            <w:r>
              <w:t>Trial record # FVI900518</w:t>
            </w:r>
          </w:p>
          <w:p w14:paraId="7EDBCC78" w14:textId="77777777" w:rsidR="004013AE" w:rsidRDefault="004013AE" w:rsidP="003C42BB"/>
          <w:p w14:paraId="087BF3E5" w14:textId="77777777" w:rsidR="00F55A60" w:rsidRDefault="00F55A60" w:rsidP="003C42BB"/>
          <w:p w14:paraId="2FAB5ABA" w14:textId="0F7E9398" w:rsidR="004013AE" w:rsidRDefault="00F55A60" w:rsidP="00F55A60">
            <w:r w:rsidRPr="00F55A60">
              <w:rPr>
                <w:b/>
                <w:bCs/>
              </w:rPr>
              <w:t>S</w:t>
            </w:r>
            <w:r>
              <w:rPr>
                <w:b/>
                <w:bCs/>
              </w:rPr>
              <w:t>UPPLEMENTAL BRIEF TO APPELLATE LAWYERS OPENING BRIEF</w:t>
            </w:r>
          </w:p>
        </w:tc>
      </w:tr>
    </w:tbl>
    <w:p w14:paraId="1C37CF83" w14:textId="77777777" w:rsidR="004013AE" w:rsidRDefault="004013AE" w:rsidP="003C42BB"/>
    <w:p w14:paraId="5D72001A" w14:textId="77777777" w:rsidR="00940ECC" w:rsidRDefault="00940ECC" w:rsidP="003C42BB"/>
    <w:p w14:paraId="6E77BC89" w14:textId="7B316E96" w:rsidR="003C42BB" w:rsidRDefault="00F55A60" w:rsidP="00F55A60">
      <w:pPr>
        <w:spacing w:after="0" w:line="240" w:lineRule="auto"/>
        <w:jc w:val="center"/>
        <w:rPr>
          <w:b/>
          <w:bCs/>
        </w:rPr>
      </w:pPr>
      <w:r>
        <w:rPr>
          <w:b/>
          <w:bCs/>
        </w:rPr>
        <w:t>TO:  JUSTICES OF THE COURT AND THE ATTORNEY GENERAL</w:t>
      </w:r>
    </w:p>
    <w:p w14:paraId="6D95C87F" w14:textId="77777777" w:rsidR="00F55A60" w:rsidRDefault="00F55A60" w:rsidP="003C42BB">
      <w:pPr>
        <w:spacing w:after="0" w:line="240" w:lineRule="auto"/>
        <w:rPr>
          <w:b/>
          <w:bCs/>
        </w:rPr>
      </w:pPr>
    </w:p>
    <w:p w14:paraId="0C012472" w14:textId="0C5D344D" w:rsidR="00F55A60" w:rsidRDefault="000B7933" w:rsidP="000B7933">
      <w:pPr>
        <w:spacing w:after="0" w:line="480" w:lineRule="auto"/>
      </w:pPr>
      <w:r w:rsidRPr="000B7933">
        <w:tab/>
        <w:t>If it pleases the court</w:t>
      </w:r>
      <w:r>
        <w:t xml:space="preserve"> John Henry Yablonsky (APPELLANT) now moves the court and the parties invested with this </w:t>
      </w:r>
      <w:r w:rsidR="00940ECC">
        <w:t>s</w:t>
      </w:r>
      <w:r>
        <w:t xml:space="preserve">upplemental </w:t>
      </w:r>
      <w:r w:rsidR="00940ECC">
        <w:t>b</w:t>
      </w:r>
      <w:r>
        <w:t xml:space="preserve">rief, which directly impacts and outlines the injuries caused by the court and the District Attorney’s office in the foretasted case. Please take notice </w:t>
      </w:r>
      <w:r w:rsidR="00940ECC">
        <w:t>that this supplemental brief is not in replace of the Appellate Lawyers brief, but is to supplement and outline the Constitutional injury suffered by the appellant stated herein. Attached hereto are true and accurate reports created by the court’s experts which conclusively makes Appellant’s legal points herein.</w:t>
      </w:r>
    </w:p>
    <w:p w14:paraId="77538ACE" w14:textId="5B010409" w:rsidR="00940ECC" w:rsidRDefault="00940ECC">
      <w:r>
        <w:br w:type="page"/>
      </w:r>
    </w:p>
    <w:p w14:paraId="27765AF4" w14:textId="77777777" w:rsidR="00940ECC" w:rsidRPr="00940ECC" w:rsidRDefault="00940ECC" w:rsidP="00940ECC">
      <w:pPr>
        <w:jc w:val="center"/>
        <w:rPr>
          <w:b/>
          <w:bCs/>
        </w:rPr>
      </w:pPr>
      <w:r w:rsidRPr="00940ECC">
        <w:rPr>
          <w:b/>
          <w:bCs/>
        </w:rPr>
        <w:lastRenderedPageBreak/>
        <w:t>TABLE OF CONTENTS</w:t>
      </w:r>
    </w:p>
    <w:p w14:paraId="028C0388" w14:textId="77777777" w:rsidR="00940ECC" w:rsidRPr="00940ECC" w:rsidRDefault="00940ECC" w:rsidP="00940ECC">
      <w:r w:rsidRPr="00940ECC">
        <w:t>I. Introduction</w:t>
      </w:r>
      <w:r w:rsidRPr="00940ECC">
        <w:br/>
        <w:t>II. Procedural Background</w:t>
      </w:r>
      <w:r w:rsidRPr="00940ECC">
        <w:br/>
        <w:t>III. Statement of Relevant Facts</w:t>
      </w:r>
      <w:r w:rsidRPr="00940ECC">
        <w:br/>
        <w:t>IV. Standard of Review</w:t>
      </w:r>
      <w:r w:rsidRPr="00940ECC">
        <w:br/>
        <w:t>V. Argument</w:t>
      </w:r>
      <w:r w:rsidRPr="00940ECC">
        <w:br/>
      </w:r>
      <w:r w:rsidRPr="00940ECC">
        <w:t> </w:t>
      </w:r>
      <w:r w:rsidRPr="00940ECC">
        <w:t>A. The Trial Court Engaged in Impermissible Fact-Finding at the Prima Facie Stage</w:t>
      </w:r>
      <w:r w:rsidRPr="00940ECC">
        <w:br/>
      </w:r>
      <w:r w:rsidRPr="00940ECC">
        <w:t> </w:t>
      </w:r>
      <w:r w:rsidRPr="00940ECC">
        <w:t>B. The Court Misapplied Anaya and Ignored Controlling Supreme Court Authority</w:t>
      </w:r>
      <w:r w:rsidRPr="00940ECC">
        <w:br/>
      </w:r>
      <w:r w:rsidRPr="00940ECC">
        <w:t> </w:t>
      </w:r>
      <w:r w:rsidRPr="00940ECC">
        <w:t>C. Charging as a Sole Perpetrator Does Not Bar §1172.6 Relief</w:t>
      </w:r>
      <w:r w:rsidRPr="00940ECC">
        <w:br/>
      </w:r>
      <w:r w:rsidRPr="00940ECC">
        <w:t> </w:t>
      </w:r>
      <w:r w:rsidRPr="00940ECC">
        <w:t>D. The Use and Destruction of Altered Evidence Violates Due Process</w:t>
      </w:r>
      <w:r w:rsidRPr="00940ECC">
        <w:br/>
      </w:r>
      <w:r w:rsidRPr="00940ECC">
        <w:t> </w:t>
      </w:r>
      <w:r w:rsidRPr="00940ECC">
        <w:t>E. The Court Erred in Refusing to Consider §1473(b) False Evidence Claims</w:t>
      </w:r>
      <w:r w:rsidRPr="00940ECC">
        <w:br/>
      </w:r>
      <w:r w:rsidRPr="00940ECC">
        <w:t> </w:t>
      </w:r>
      <w:r w:rsidRPr="00940ECC">
        <w:t>F. The Court’s Ruling Deprived Appellant of Banks-Clark-Strong Review</w:t>
      </w:r>
      <w:r w:rsidRPr="00940ECC">
        <w:br/>
      </w:r>
      <w:r w:rsidRPr="00940ECC">
        <w:t> </w:t>
      </w:r>
      <w:r w:rsidRPr="00940ECC">
        <w:t>G. The Court Ignored Binding Prior Appellate Findings (E055840)</w:t>
      </w:r>
      <w:r w:rsidRPr="00940ECC">
        <w:br/>
        <w:t>VI. Conclusion</w:t>
      </w:r>
      <w:r w:rsidRPr="00940ECC">
        <w:br/>
        <w:t>Certificate of Word Count</w:t>
      </w:r>
      <w:r w:rsidRPr="00940ECC">
        <w:br/>
        <w:t>Proof of Service</w:t>
      </w:r>
    </w:p>
    <w:p w14:paraId="5070376C" w14:textId="77777777" w:rsidR="00940ECC" w:rsidRPr="00940ECC" w:rsidRDefault="00940ECC" w:rsidP="00940ECC">
      <w:r w:rsidRPr="00940ECC">
        <w:pict w14:anchorId="5E2C5F80">
          <v:rect id="_x0000_i1187" style="width:0;height:1.5pt" o:hralign="center" o:hrstd="t" o:hr="t" fillcolor="#a0a0a0" stroked="f"/>
        </w:pict>
      </w:r>
    </w:p>
    <w:p w14:paraId="7C0AFADB" w14:textId="77777777" w:rsidR="00940ECC" w:rsidRPr="00940ECC" w:rsidRDefault="00940ECC" w:rsidP="00940ECC">
      <w:pPr>
        <w:jc w:val="center"/>
        <w:rPr>
          <w:b/>
          <w:bCs/>
        </w:rPr>
      </w:pPr>
      <w:r w:rsidRPr="00940ECC">
        <w:rPr>
          <w:b/>
          <w:bCs/>
        </w:rPr>
        <w:t>TABLE OF AUTHORITIES (Alphabetical)</w:t>
      </w:r>
    </w:p>
    <w:p w14:paraId="4C46A57C" w14:textId="77777777" w:rsidR="00940ECC" w:rsidRPr="00940ECC" w:rsidRDefault="00940ECC" w:rsidP="00940ECC">
      <w:pPr>
        <w:rPr>
          <w:b/>
          <w:bCs/>
        </w:rPr>
      </w:pPr>
      <w:r w:rsidRPr="00940ECC">
        <w:rPr>
          <w:b/>
          <w:bCs/>
        </w:rPr>
        <w:t>Cases</w:t>
      </w:r>
    </w:p>
    <w:p w14:paraId="4D475EB0" w14:textId="77777777" w:rsidR="00940ECC" w:rsidRPr="00940ECC" w:rsidRDefault="00940ECC" w:rsidP="00940ECC">
      <w:r w:rsidRPr="00940ECC">
        <w:t>Arizona v. Youngblood</w:t>
      </w:r>
      <w:r w:rsidRPr="00940ECC">
        <w:br/>
        <w:t>California v. Trombetta</w:t>
      </w:r>
      <w:r w:rsidRPr="00940ECC">
        <w:br/>
        <w:t>Mooney v. Holohan</w:t>
      </w:r>
      <w:r w:rsidRPr="00940ECC">
        <w:br/>
        <w:t>Napue v. Illinois</w:t>
      </w:r>
      <w:r w:rsidRPr="00940ECC">
        <w:br/>
        <w:t>People v. Anaya</w:t>
      </w:r>
      <w:r w:rsidRPr="00940ECC">
        <w:br/>
        <w:t>People v. Banks</w:t>
      </w:r>
      <w:r w:rsidRPr="00940ECC">
        <w:br/>
        <w:t>People v. Clark</w:t>
      </w:r>
      <w:r w:rsidRPr="00940ECC">
        <w:br/>
        <w:t>People v. Patton</w:t>
      </w:r>
      <w:r w:rsidRPr="00940ECC">
        <w:br/>
        <w:t>People v. Strong</w:t>
      </w:r>
    </w:p>
    <w:p w14:paraId="46085B35" w14:textId="77777777" w:rsidR="00940ECC" w:rsidRDefault="00940ECC" w:rsidP="00940ECC">
      <w:r w:rsidRPr="00940ECC">
        <w:t>Statutes:</w:t>
      </w:r>
      <w:r w:rsidRPr="00940ECC">
        <w:br/>
        <w:t>Penal Code §§ 1172.6, 1473(b)(1)-(3)</w:t>
      </w:r>
      <w:r w:rsidRPr="00940ECC">
        <w:br/>
        <w:t>Cal. Const., art. I §§ 7, 15, 28(f)(2)</w:t>
      </w:r>
    </w:p>
    <w:p w14:paraId="3D502D3E" w14:textId="77777777" w:rsidR="00940ECC" w:rsidRPr="00940ECC" w:rsidRDefault="00940ECC" w:rsidP="00940ECC"/>
    <w:p w14:paraId="499FCEDA" w14:textId="23652D90" w:rsidR="00940ECC" w:rsidRDefault="00940ECC">
      <w:r>
        <w:br w:type="page"/>
      </w:r>
    </w:p>
    <w:p w14:paraId="12CF6FCB" w14:textId="77777777" w:rsidR="00940ECC" w:rsidRPr="00940ECC" w:rsidRDefault="00940ECC" w:rsidP="00940ECC">
      <w:pPr>
        <w:rPr>
          <w:b/>
          <w:bCs/>
        </w:rPr>
      </w:pPr>
      <w:r w:rsidRPr="00940ECC">
        <w:rPr>
          <w:b/>
          <w:bCs/>
        </w:rPr>
        <w:lastRenderedPageBreak/>
        <w:t>I. INTRODUCTION</w:t>
      </w:r>
    </w:p>
    <w:p w14:paraId="3B00761E" w14:textId="77777777" w:rsidR="00940ECC" w:rsidRPr="00940ECC" w:rsidRDefault="00940ECC" w:rsidP="00940ECC">
      <w:r w:rsidRPr="00940ECC">
        <w:t>This appeal arises from the trial court’s denial of Appellant’s Penal Code §1172.6 petition at the prima facie stage.</w:t>
      </w:r>
    </w:p>
    <w:p w14:paraId="1BC03FA8" w14:textId="77777777" w:rsidR="00940ECC" w:rsidRPr="00940ECC" w:rsidRDefault="00940ECC" w:rsidP="00940ECC">
      <w:r w:rsidRPr="00940ECC">
        <w:t>The denial was based on:</w:t>
      </w:r>
    </w:p>
    <w:p w14:paraId="3956D2F1" w14:textId="77777777" w:rsidR="00940ECC" w:rsidRPr="00940ECC" w:rsidRDefault="00940ECC" w:rsidP="00940ECC">
      <w:r w:rsidRPr="00940ECC">
        <w:t>• Reliance on jury instructions (CALCRIM 521 &amp; 540A)</w:t>
      </w:r>
      <w:r w:rsidRPr="00940ECC">
        <w:br/>
        <w:t>• A conclusion that Appellant was the “actual killer”</w:t>
      </w:r>
      <w:r w:rsidRPr="00940ECC">
        <w:br/>
        <w:t>• Rejection of expert forensic evidence</w:t>
      </w:r>
      <w:r w:rsidRPr="00940ECC">
        <w:br/>
        <w:t>• Refusal to consider Penal Code §1473(b) false evidence claims</w:t>
      </w:r>
      <w:r w:rsidRPr="00940ECC">
        <w:br/>
        <w:t>• A theory that charging Appellant alone barred relief</w:t>
      </w:r>
    </w:p>
    <w:p w14:paraId="52E74942" w14:textId="77777777" w:rsidR="00940ECC" w:rsidRPr="00940ECC" w:rsidRDefault="00940ECC" w:rsidP="00940ECC">
      <w:r w:rsidRPr="00940ECC">
        <w:t>The ruling conflicts with binding Supreme Court precedent and constitutes abuse of discretion.</w:t>
      </w:r>
    </w:p>
    <w:p w14:paraId="0DF23D6D" w14:textId="77777777" w:rsidR="00940ECC" w:rsidRPr="00940ECC" w:rsidRDefault="00940ECC" w:rsidP="00940ECC">
      <w:r w:rsidRPr="00940ECC">
        <w:pict w14:anchorId="4F39087C">
          <v:rect id="_x0000_i1189" style="width:0;height:1.5pt" o:hralign="center" o:hrstd="t" o:hr="t" fillcolor="#a0a0a0" stroked="f"/>
        </w:pict>
      </w:r>
    </w:p>
    <w:p w14:paraId="212B26E9" w14:textId="77777777" w:rsidR="00940ECC" w:rsidRPr="00940ECC" w:rsidRDefault="00940ECC" w:rsidP="00940ECC">
      <w:pPr>
        <w:rPr>
          <w:b/>
          <w:bCs/>
        </w:rPr>
      </w:pPr>
      <w:r w:rsidRPr="00940ECC">
        <w:rPr>
          <w:b/>
          <w:bCs/>
        </w:rPr>
        <w:t>II. PROCEDURAL BACKGROUND</w:t>
      </w:r>
    </w:p>
    <w:p w14:paraId="0F8087D9" w14:textId="77777777" w:rsidR="00940ECC" w:rsidRPr="00940ECC" w:rsidRDefault="00940ECC" w:rsidP="00940ECC">
      <w:r w:rsidRPr="00940ECC">
        <w:t>Appellant filed a §1172.6 petition seeking relief under Senate Bills 1437 and 775. (CT ___)</w:t>
      </w:r>
    </w:p>
    <w:p w14:paraId="50E84315" w14:textId="77777777" w:rsidR="00940ECC" w:rsidRPr="00940ECC" w:rsidRDefault="00940ECC" w:rsidP="00940ECC">
      <w:r w:rsidRPr="00940ECC">
        <w:t>At the prima facie hearing (RT ___), Appellant submitted:</w:t>
      </w:r>
    </w:p>
    <w:p w14:paraId="79625FC1" w14:textId="77777777" w:rsidR="00940ECC" w:rsidRPr="00940ECC" w:rsidRDefault="00940ECC" w:rsidP="00940ECC">
      <w:r w:rsidRPr="00940ECC">
        <w:t>• Expert forensic reports establishing digital alteration of Exhibits 49 and 49A (CT ___)</w:t>
      </w:r>
      <w:r w:rsidRPr="00940ECC">
        <w:br/>
        <w:t>• Evidence that the prosecution destroyed the trial version of those exhibits post-verdict (RT ___)</w:t>
      </w:r>
      <w:r w:rsidRPr="00940ECC">
        <w:br/>
        <w:t>• Prior appellate findings in Case No. E055840 recognizing:</w:t>
      </w:r>
      <w:r w:rsidRPr="00940ECC">
        <w:br/>
      </w:r>
      <w:r w:rsidRPr="00940ECC">
        <w:t> </w:t>
      </w:r>
      <w:r w:rsidRPr="00940ECC">
        <w:t>– Appellant’s DNA predated the crime</w:t>
      </w:r>
      <w:r w:rsidRPr="00940ECC">
        <w:br/>
      </w:r>
      <w:r w:rsidRPr="00940ECC">
        <w:t> </w:t>
      </w:r>
      <w:r w:rsidRPr="00940ECC">
        <w:t>– Sixteen additional DNA profiles were recovered</w:t>
      </w:r>
      <w:r w:rsidRPr="00940ECC">
        <w:br/>
      </w:r>
      <w:r w:rsidRPr="00940ECC">
        <w:t> </w:t>
      </w:r>
      <w:r w:rsidRPr="00940ECC">
        <w:t>– Third-party culpability supported by DNA evidence (E055840, pp. 13-15)</w:t>
      </w:r>
    </w:p>
    <w:p w14:paraId="4E007B3B" w14:textId="77777777" w:rsidR="00940ECC" w:rsidRPr="00940ECC" w:rsidRDefault="00940ECC" w:rsidP="00940ECC">
      <w:r w:rsidRPr="00940ECC">
        <w:t>The trial court denied the petition, finding Appellant’s arguments “irrelevant.” (RT ___)</w:t>
      </w:r>
    </w:p>
    <w:p w14:paraId="038453B0" w14:textId="77777777" w:rsidR="00940ECC" w:rsidRPr="00940ECC" w:rsidRDefault="00940ECC" w:rsidP="00940ECC">
      <w:r w:rsidRPr="00940ECC">
        <w:pict w14:anchorId="5A076F16">
          <v:rect id="_x0000_i1190" style="width:0;height:1.5pt" o:hralign="center" o:hrstd="t" o:hr="t" fillcolor="#a0a0a0" stroked="f"/>
        </w:pict>
      </w:r>
    </w:p>
    <w:p w14:paraId="068B44D5" w14:textId="77777777" w:rsidR="00940ECC" w:rsidRPr="00940ECC" w:rsidRDefault="00940ECC" w:rsidP="00940ECC">
      <w:pPr>
        <w:rPr>
          <w:b/>
          <w:bCs/>
        </w:rPr>
      </w:pPr>
      <w:r w:rsidRPr="00940ECC">
        <w:rPr>
          <w:b/>
          <w:bCs/>
        </w:rPr>
        <w:t>III. STATEMENT OF RELEVANT FACTS</w:t>
      </w:r>
    </w:p>
    <w:p w14:paraId="27DC5435" w14:textId="77777777" w:rsidR="00940ECC" w:rsidRPr="00940ECC" w:rsidRDefault="00940ECC" w:rsidP="00940ECC">
      <w:r w:rsidRPr="00940ECC">
        <w:t>The prosecution’s case relied heavily on Exhibits 49 and 49A — Appellant’s alleged extrajudicial statement.</w:t>
      </w:r>
    </w:p>
    <w:p w14:paraId="4A972AE7" w14:textId="77777777" w:rsidR="00940ECC" w:rsidRPr="00940ECC" w:rsidRDefault="00940ECC" w:rsidP="00940ECC">
      <w:r w:rsidRPr="00940ECC">
        <w:t>Expert forensic analysis demonstrated:</w:t>
      </w:r>
    </w:p>
    <w:p w14:paraId="2455BBDB" w14:textId="77777777" w:rsidR="00940ECC" w:rsidRPr="00940ECC" w:rsidRDefault="00940ECC" w:rsidP="00940ECC">
      <w:r w:rsidRPr="00940ECC">
        <w:t>• Hundreds of digital edits</w:t>
      </w:r>
      <w:r w:rsidRPr="00940ECC">
        <w:br/>
        <w:t>• Splice points</w:t>
      </w:r>
      <w:r w:rsidRPr="00940ECC">
        <w:br/>
      </w:r>
      <w:r w:rsidRPr="00940ECC">
        <w:lastRenderedPageBreak/>
        <w:t>• Metadata inconsistencies</w:t>
      </w:r>
      <w:r w:rsidRPr="00940ECC">
        <w:br/>
        <w:t>• Recording anomalies</w:t>
      </w:r>
    </w:p>
    <w:p w14:paraId="08149588" w14:textId="77777777" w:rsidR="00940ECC" w:rsidRPr="00940ECC" w:rsidRDefault="00940ECC" w:rsidP="00940ECC">
      <w:r w:rsidRPr="00940ECC">
        <w:t>The prosecution represented to the jury that the evidence was unaltered. (RT Trial ___)</w:t>
      </w:r>
    </w:p>
    <w:p w14:paraId="18B93523" w14:textId="77777777" w:rsidR="00940ECC" w:rsidRPr="00940ECC" w:rsidRDefault="00940ECC" w:rsidP="00940ECC">
      <w:r w:rsidRPr="00940ECC">
        <w:t>Post-verdict, the District Attorney admitted the trial version of the exhibit was destroyed. (RT ___)</w:t>
      </w:r>
    </w:p>
    <w:p w14:paraId="14383212" w14:textId="77777777" w:rsidR="00940ECC" w:rsidRPr="00940ECC" w:rsidRDefault="00940ECC" w:rsidP="00940ECC">
      <w:r w:rsidRPr="00940ECC">
        <w:t>The prosecution could not identify how Exhibit 49A entered the §1172.6 record. (RT ___)</w:t>
      </w:r>
    </w:p>
    <w:p w14:paraId="4AE5926A" w14:textId="77777777" w:rsidR="00940ECC" w:rsidRPr="00940ECC" w:rsidRDefault="00940ECC" w:rsidP="00940ECC">
      <w:r w:rsidRPr="00940ECC">
        <w:t>Additionally:</w:t>
      </w:r>
    </w:p>
    <w:p w14:paraId="642EB6FC" w14:textId="77777777" w:rsidR="00940ECC" w:rsidRPr="00940ECC" w:rsidRDefault="00940ECC" w:rsidP="00940ECC">
      <w:r w:rsidRPr="00940ECC">
        <w:t>• Appellant’s DNA predated the homicide</w:t>
      </w:r>
      <w:r w:rsidRPr="00940ECC">
        <w:br/>
        <w:t>• Sixteen other DNA profiles were collected</w:t>
      </w:r>
      <w:r w:rsidRPr="00940ECC">
        <w:br/>
        <w:t>• Gregory Randolph’s DNA was found at the crime scene</w:t>
      </w:r>
      <w:r w:rsidRPr="00940ECC">
        <w:br/>
        <w:t>• Prior appellate findings acknowledged third-party culpability</w:t>
      </w:r>
    </w:p>
    <w:p w14:paraId="6F2ED083" w14:textId="77777777" w:rsidR="00940ECC" w:rsidRPr="00940ECC" w:rsidRDefault="00940ECC" w:rsidP="00940ECC">
      <w:r w:rsidRPr="00940ECC">
        <w:pict w14:anchorId="6A3D8A5D">
          <v:rect id="_x0000_i1191" style="width:0;height:1.5pt" o:hralign="center" o:hrstd="t" o:hr="t" fillcolor="#a0a0a0" stroked="f"/>
        </w:pict>
      </w:r>
    </w:p>
    <w:p w14:paraId="7202322A" w14:textId="77777777" w:rsidR="00940ECC" w:rsidRPr="00940ECC" w:rsidRDefault="00940ECC" w:rsidP="00940ECC">
      <w:pPr>
        <w:rPr>
          <w:b/>
          <w:bCs/>
        </w:rPr>
      </w:pPr>
      <w:r w:rsidRPr="00940ECC">
        <w:rPr>
          <w:b/>
          <w:bCs/>
        </w:rPr>
        <w:t>IV. STANDARD OF REVIEW</w:t>
      </w:r>
    </w:p>
    <w:p w14:paraId="594B69C5" w14:textId="77777777" w:rsidR="00940ECC" w:rsidRPr="00940ECC" w:rsidRDefault="00940ECC" w:rsidP="00940ECC">
      <w:r w:rsidRPr="00940ECC">
        <w:t>Denial at the prima facie stage is reviewed de novo when based on legal error.</w:t>
      </w:r>
    </w:p>
    <w:p w14:paraId="3D2595CA" w14:textId="77777777" w:rsidR="00940ECC" w:rsidRPr="00940ECC" w:rsidRDefault="00940ECC" w:rsidP="00940ECC">
      <w:r w:rsidRPr="00940ECC">
        <w:t>Under People v. Patton, courts may not resolve disputed factual issues at the prima facie stage.</w:t>
      </w:r>
    </w:p>
    <w:p w14:paraId="65F03D73" w14:textId="77777777" w:rsidR="00940ECC" w:rsidRPr="00940ECC" w:rsidRDefault="00940ECC" w:rsidP="00940ECC">
      <w:r w:rsidRPr="00940ECC">
        <w:t>Abuse of discretion occurs when a court applies the wrong legal standard.</w:t>
      </w:r>
    </w:p>
    <w:p w14:paraId="4C72412A" w14:textId="77777777" w:rsidR="00940ECC" w:rsidRPr="00940ECC" w:rsidRDefault="00940ECC" w:rsidP="00940ECC">
      <w:r w:rsidRPr="00940ECC">
        <w:pict w14:anchorId="55F1F6CA">
          <v:rect id="_x0000_i1192" style="width:0;height:1.5pt" o:hralign="center" o:hrstd="t" o:hr="t" fillcolor="#a0a0a0" stroked="f"/>
        </w:pict>
      </w:r>
    </w:p>
    <w:p w14:paraId="563AC0AC" w14:textId="77777777" w:rsidR="00940ECC" w:rsidRPr="00940ECC" w:rsidRDefault="00940ECC" w:rsidP="00940ECC">
      <w:pPr>
        <w:rPr>
          <w:b/>
          <w:bCs/>
        </w:rPr>
      </w:pPr>
      <w:r w:rsidRPr="00940ECC">
        <w:rPr>
          <w:b/>
          <w:bCs/>
        </w:rPr>
        <w:t>V. ARGUMENT</w:t>
      </w:r>
    </w:p>
    <w:p w14:paraId="26FE6D37" w14:textId="77777777" w:rsidR="00940ECC" w:rsidRPr="00940ECC" w:rsidRDefault="00940ECC" w:rsidP="00940ECC">
      <w:r w:rsidRPr="00940ECC">
        <w:pict w14:anchorId="3E957787">
          <v:rect id="_x0000_i1193" style="width:0;height:1.5pt" o:hralign="center" o:hrstd="t" o:hr="t" fillcolor="#a0a0a0" stroked="f"/>
        </w:pict>
      </w:r>
    </w:p>
    <w:p w14:paraId="09B08B95" w14:textId="77777777" w:rsidR="00940ECC" w:rsidRPr="00940ECC" w:rsidRDefault="00940ECC" w:rsidP="00940ECC">
      <w:pPr>
        <w:rPr>
          <w:b/>
          <w:bCs/>
        </w:rPr>
      </w:pPr>
      <w:r w:rsidRPr="00940ECC">
        <w:rPr>
          <w:b/>
          <w:bCs/>
        </w:rPr>
        <w:t>A. Impermissible Fact-Finding at the Prima Facie Stage</w:t>
      </w:r>
    </w:p>
    <w:p w14:paraId="54E79A3C" w14:textId="77777777" w:rsidR="00940ECC" w:rsidRPr="00940ECC" w:rsidRDefault="00940ECC" w:rsidP="00940ECC">
      <w:r w:rsidRPr="00940ECC">
        <w:t>Under Patton, courts may not weigh evidence or resolve factual disputes at the prima facie stage.</w:t>
      </w:r>
    </w:p>
    <w:p w14:paraId="5414D819" w14:textId="77777777" w:rsidR="00940ECC" w:rsidRPr="00940ECC" w:rsidRDefault="00940ECC" w:rsidP="00940ECC">
      <w:r w:rsidRPr="00940ECC">
        <w:t>Appellant presented non-conclusory scientific evidence directly undermining the prosecution’s centerpiece exhibit.</w:t>
      </w:r>
    </w:p>
    <w:p w14:paraId="3EB30AED" w14:textId="77777777" w:rsidR="00940ECC" w:rsidRPr="00940ECC" w:rsidRDefault="00940ECC" w:rsidP="00940ECC">
      <w:r w:rsidRPr="00940ECC">
        <w:t>The trial court refused to consider it and instead determined Appellant was the actual killer based solely on jury instructions.</w:t>
      </w:r>
    </w:p>
    <w:p w14:paraId="75B709C0" w14:textId="77777777" w:rsidR="00940ECC" w:rsidRPr="00940ECC" w:rsidRDefault="00940ECC" w:rsidP="00940ECC">
      <w:r w:rsidRPr="00940ECC">
        <w:t>That is prohibited fact-finding.</w:t>
      </w:r>
    </w:p>
    <w:p w14:paraId="09FDFAEC" w14:textId="77777777" w:rsidR="00940ECC" w:rsidRPr="00940ECC" w:rsidRDefault="00940ECC" w:rsidP="00940ECC">
      <w:r w:rsidRPr="00940ECC">
        <w:pict w14:anchorId="07174F36">
          <v:rect id="_x0000_i1194" style="width:0;height:1.5pt" o:hralign="center" o:hrstd="t" o:hr="t" fillcolor="#a0a0a0" stroked="f"/>
        </w:pict>
      </w:r>
    </w:p>
    <w:p w14:paraId="6F8FE010" w14:textId="77777777" w:rsidR="00940ECC" w:rsidRPr="00940ECC" w:rsidRDefault="00940ECC" w:rsidP="00940ECC">
      <w:pPr>
        <w:rPr>
          <w:b/>
          <w:bCs/>
        </w:rPr>
      </w:pPr>
      <w:r w:rsidRPr="00940ECC">
        <w:rPr>
          <w:b/>
          <w:bCs/>
        </w:rPr>
        <w:lastRenderedPageBreak/>
        <w:t>B. Misapplication of Anaya</w:t>
      </w:r>
    </w:p>
    <w:p w14:paraId="7D93A5B8" w14:textId="77777777" w:rsidR="00940ECC" w:rsidRPr="00940ECC" w:rsidRDefault="00940ECC" w:rsidP="00940ECC">
      <w:r w:rsidRPr="00940ECC">
        <w:t>The trial court relied on People v. Anaya to conclude that CALCRIM 521 and 540A established actual-killer status.</w:t>
      </w:r>
    </w:p>
    <w:p w14:paraId="244970DE" w14:textId="77777777" w:rsidR="00940ECC" w:rsidRPr="00940ECC" w:rsidRDefault="00940ECC" w:rsidP="00940ECC">
      <w:r w:rsidRPr="00940ECC">
        <w:t>However, Anaya predates Senate Bill 775 and predates Strong and Patton.</w:t>
      </w:r>
    </w:p>
    <w:p w14:paraId="307BB337" w14:textId="77777777" w:rsidR="00940ECC" w:rsidRPr="00940ECC" w:rsidRDefault="00940ECC" w:rsidP="00940ECC">
      <w:r w:rsidRPr="00940ECC">
        <w:t>Where Court of Appeal authority conflicts with later Supreme Court authority, the Supreme Court controls.</w:t>
      </w:r>
    </w:p>
    <w:p w14:paraId="14971229" w14:textId="77777777" w:rsidR="00940ECC" w:rsidRPr="00940ECC" w:rsidRDefault="00940ECC" w:rsidP="00940ECC">
      <w:r w:rsidRPr="00940ECC">
        <w:t>The trial court’s reliance on Anaya was misplaced.</w:t>
      </w:r>
    </w:p>
    <w:p w14:paraId="02A065D2" w14:textId="77777777" w:rsidR="00940ECC" w:rsidRPr="00940ECC" w:rsidRDefault="00940ECC" w:rsidP="00940ECC">
      <w:r w:rsidRPr="00940ECC">
        <w:pict w14:anchorId="244683F0">
          <v:rect id="_x0000_i1195" style="width:0;height:1.5pt" o:hralign="center" o:hrstd="t" o:hr="t" fillcolor="#a0a0a0" stroked="f"/>
        </w:pict>
      </w:r>
    </w:p>
    <w:p w14:paraId="5E6EE23C" w14:textId="77777777" w:rsidR="00940ECC" w:rsidRPr="00940ECC" w:rsidRDefault="00940ECC" w:rsidP="00940ECC">
      <w:pPr>
        <w:rPr>
          <w:b/>
          <w:bCs/>
        </w:rPr>
      </w:pPr>
      <w:r w:rsidRPr="00940ECC">
        <w:rPr>
          <w:b/>
          <w:bCs/>
        </w:rPr>
        <w:t>C. Sole Perpetrator Charging Does Not Bar Relief</w:t>
      </w:r>
    </w:p>
    <w:p w14:paraId="5EE9F36F" w14:textId="77777777" w:rsidR="00940ECC" w:rsidRPr="00940ECC" w:rsidRDefault="00940ECC" w:rsidP="00940ECC">
      <w:r w:rsidRPr="00940ECC">
        <w:t>The District Attorney argued that because Appellant was charged alone, §1172.6 is inapplicable.</w:t>
      </w:r>
    </w:p>
    <w:p w14:paraId="502CDFC9" w14:textId="77777777" w:rsidR="00940ECC" w:rsidRPr="00940ECC" w:rsidRDefault="00940ECC" w:rsidP="00940ECC">
      <w:r w:rsidRPr="00940ECC">
        <w:t>This misstates the law.</w:t>
      </w:r>
    </w:p>
    <w:p w14:paraId="64920286" w14:textId="77777777" w:rsidR="00940ECC" w:rsidRPr="00940ECC" w:rsidRDefault="00940ECC" w:rsidP="00940ECC">
      <w:r w:rsidRPr="00940ECC">
        <w:t>Eligibility turns on whether Appellant could be convicted under current law — not how he was charged.</w:t>
      </w:r>
    </w:p>
    <w:p w14:paraId="5077CD15" w14:textId="77777777" w:rsidR="00940ECC" w:rsidRPr="00940ECC" w:rsidRDefault="00940ECC" w:rsidP="00940ECC">
      <w:r w:rsidRPr="00940ECC">
        <w:t>People v. Strong confirms prior determinations do not bar review.</w:t>
      </w:r>
    </w:p>
    <w:p w14:paraId="1F0388E1" w14:textId="77777777" w:rsidR="00940ECC" w:rsidRPr="00940ECC" w:rsidRDefault="00940ECC" w:rsidP="00940ECC">
      <w:r w:rsidRPr="00940ECC">
        <w:t>Banks and Clark refined the major participant and reckless indifference standards:</w:t>
      </w:r>
    </w:p>
    <w:p w14:paraId="65A6E8F1" w14:textId="77777777" w:rsidR="00940ECC" w:rsidRPr="00940ECC" w:rsidRDefault="00940ECC" w:rsidP="00940ECC">
      <w:r w:rsidRPr="00940ECC">
        <w:t>People v. Banks</w:t>
      </w:r>
      <w:r w:rsidRPr="00940ECC">
        <w:br/>
        <w:t>People v. Clark</w:t>
      </w:r>
    </w:p>
    <w:p w14:paraId="4F435126" w14:textId="77777777" w:rsidR="00940ECC" w:rsidRPr="00940ECC" w:rsidRDefault="00940ECC" w:rsidP="00940ECC">
      <w:r w:rsidRPr="00940ECC">
        <w:t>Charging posture is legally irrelevant.</w:t>
      </w:r>
    </w:p>
    <w:p w14:paraId="648CF259" w14:textId="77777777" w:rsidR="00940ECC" w:rsidRPr="00940ECC" w:rsidRDefault="00940ECC" w:rsidP="00940ECC">
      <w:r w:rsidRPr="00940ECC">
        <w:pict w14:anchorId="4040664E">
          <v:rect id="_x0000_i1196" style="width:0;height:1.5pt" o:hralign="center" o:hrstd="t" o:hr="t" fillcolor="#a0a0a0" stroked="f"/>
        </w:pict>
      </w:r>
    </w:p>
    <w:p w14:paraId="0E3A2E7B" w14:textId="77777777" w:rsidR="00940ECC" w:rsidRPr="00940ECC" w:rsidRDefault="00940ECC" w:rsidP="00940ECC">
      <w:pPr>
        <w:rPr>
          <w:b/>
          <w:bCs/>
        </w:rPr>
      </w:pPr>
      <w:r w:rsidRPr="00940ECC">
        <w:rPr>
          <w:b/>
          <w:bCs/>
        </w:rPr>
        <w:t>D. Use and Destruction of Altered Evidence Violates Due Process</w:t>
      </w:r>
    </w:p>
    <w:p w14:paraId="6915D89B" w14:textId="77777777" w:rsidR="00940ECC" w:rsidRPr="00940ECC" w:rsidRDefault="00940ECC" w:rsidP="00940ECC">
      <w:r w:rsidRPr="00940ECC">
        <w:t>Knowingly presenting false evidence violates due process under:</w:t>
      </w:r>
    </w:p>
    <w:p w14:paraId="0623ADCB" w14:textId="77777777" w:rsidR="00940ECC" w:rsidRPr="00940ECC" w:rsidRDefault="00940ECC" w:rsidP="00940ECC">
      <w:r w:rsidRPr="00940ECC">
        <w:t>Napue v. Illinois</w:t>
      </w:r>
      <w:r w:rsidRPr="00940ECC">
        <w:br/>
        <w:t>Mooney v. Holohan</w:t>
      </w:r>
    </w:p>
    <w:p w14:paraId="21CF0569" w14:textId="77777777" w:rsidR="00940ECC" w:rsidRPr="00940ECC" w:rsidRDefault="00940ECC" w:rsidP="00940ECC">
      <w:r w:rsidRPr="00940ECC">
        <w:t>Destruction of materially exculpatory evidence violates due process under:</w:t>
      </w:r>
    </w:p>
    <w:p w14:paraId="1E0F5D9F" w14:textId="77777777" w:rsidR="00940ECC" w:rsidRPr="00940ECC" w:rsidRDefault="00940ECC" w:rsidP="00940ECC">
      <w:r w:rsidRPr="00940ECC">
        <w:t>California v. Trombetta</w:t>
      </w:r>
      <w:r w:rsidRPr="00940ECC">
        <w:br/>
        <w:t>Arizona v. Youngblood</w:t>
      </w:r>
    </w:p>
    <w:p w14:paraId="4E875362" w14:textId="77777777" w:rsidR="00940ECC" w:rsidRPr="00940ECC" w:rsidRDefault="00940ECC" w:rsidP="00940ECC">
      <w:r w:rsidRPr="00940ECC">
        <w:t>Here:</w:t>
      </w:r>
    </w:p>
    <w:p w14:paraId="3896C067" w14:textId="77777777" w:rsidR="00940ECC" w:rsidRPr="00940ECC" w:rsidRDefault="00940ECC" w:rsidP="00940ECC">
      <w:r w:rsidRPr="00940ECC">
        <w:lastRenderedPageBreak/>
        <w:t>• The centerpiece evidence was altered.</w:t>
      </w:r>
      <w:r w:rsidRPr="00940ECC">
        <w:br/>
        <w:t>• The jury was told it was unaltered.</w:t>
      </w:r>
      <w:r w:rsidRPr="00940ECC">
        <w:br/>
        <w:t>• The original was destroyed.</w:t>
      </w:r>
    </w:p>
    <w:p w14:paraId="0A5FF52E" w14:textId="77777777" w:rsidR="00940ECC" w:rsidRPr="00940ECC" w:rsidRDefault="00940ECC" w:rsidP="00940ECC">
      <w:r w:rsidRPr="00940ECC">
        <w:t>This is structural error.</w:t>
      </w:r>
    </w:p>
    <w:p w14:paraId="1E4D9D4F" w14:textId="77777777" w:rsidR="00940ECC" w:rsidRPr="00940ECC" w:rsidRDefault="00940ECC" w:rsidP="00940ECC">
      <w:r w:rsidRPr="00940ECC">
        <w:pict w14:anchorId="01A18932">
          <v:rect id="_x0000_i1197" style="width:0;height:1.5pt" o:hralign="center" o:hrstd="t" o:hr="t" fillcolor="#a0a0a0" stroked="f"/>
        </w:pict>
      </w:r>
    </w:p>
    <w:p w14:paraId="2298B100" w14:textId="77777777" w:rsidR="00940ECC" w:rsidRPr="00940ECC" w:rsidRDefault="00940ECC" w:rsidP="00940ECC">
      <w:pPr>
        <w:rPr>
          <w:b/>
          <w:bCs/>
        </w:rPr>
      </w:pPr>
      <w:r w:rsidRPr="00940ECC">
        <w:rPr>
          <w:b/>
          <w:bCs/>
        </w:rPr>
        <w:t>E. Refusal to Consider §1473(b) False Evidence Claims</w:t>
      </w:r>
    </w:p>
    <w:p w14:paraId="56CB038C" w14:textId="77777777" w:rsidR="00940ECC" w:rsidRPr="00940ECC" w:rsidRDefault="00940ECC" w:rsidP="00940ECC">
      <w:r w:rsidRPr="00940ECC">
        <w:t>Penal Code §1473(b)(1)-(3) recognizes relief based on false evidence.</w:t>
      </w:r>
    </w:p>
    <w:p w14:paraId="4553F4B1" w14:textId="77777777" w:rsidR="00940ECC" w:rsidRPr="00940ECC" w:rsidRDefault="00940ECC" w:rsidP="00940ECC">
      <w:r w:rsidRPr="00940ECC">
        <w:t>The trial court declared it lacked jurisdiction to consider these claims within §1172.6.</w:t>
      </w:r>
    </w:p>
    <w:p w14:paraId="40DEF42E" w14:textId="77777777" w:rsidR="00940ECC" w:rsidRPr="00940ECC" w:rsidRDefault="00940ECC" w:rsidP="00940ECC">
      <w:r w:rsidRPr="00940ECC">
        <w:t>False evidence claims directly affect eligibility under §1172.6.</w:t>
      </w:r>
    </w:p>
    <w:p w14:paraId="444A664C" w14:textId="77777777" w:rsidR="00940ECC" w:rsidRPr="00940ECC" w:rsidRDefault="00940ECC" w:rsidP="00940ECC">
      <w:r w:rsidRPr="00940ECC">
        <w:t>Refusal to consider them was legal error.</w:t>
      </w:r>
    </w:p>
    <w:p w14:paraId="7543466D" w14:textId="77777777" w:rsidR="00940ECC" w:rsidRPr="00940ECC" w:rsidRDefault="00940ECC" w:rsidP="00940ECC">
      <w:r w:rsidRPr="00940ECC">
        <w:pict w14:anchorId="2D18E1E3">
          <v:rect id="_x0000_i1198" style="width:0;height:1.5pt" o:hralign="center" o:hrstd="t" o:hr="t" fillcolor="#a0a0a0" stroked="f"/>
        </w:pict>
      </w:r>
    </w:p>
    <w:p w14:paraId="30F1B51E" w14:textId="77777777" w:rsidR="00940ECC" w:rsidRPr="00940ECC" w:rsidRDefault="00940ECC" w:rsidP="00940ECC">
      <w:pPr>
        <w:rPr>
          <w:b/>
          <w:bCs/>
        </w:rPr>
      </w:pPr>
      <w:r w:rsidRPr="00940ECC">
        <w:rPr>
          <w:b/>
          <w:bCs/>
        </w:rPr>
        <w:t>F. Deprivation of Banks-Clark-Strong Review</w:t>
      </w:r>
    </w:p>
    <w:p w14:paraId="43BDFA91" w14:textId="77777777" w:rsidR="00940ECC" w:rsidRPr="00940ECC" w:rsidRDefault="00940ECC" w:rsidP="00940ECC">
      <w:r w:rsidRPr="00940ECC">
        <w:t>By finding Appellant categorically the “actual killer,” the court foreclosed analysis under Banks-Clark-Strong.</w:t>
      </w:r>
    </w:p>
    <w:p w14:paraId="6A426F21" w14:textId="77777777" w:rsidR="00940ECC" w:rsidRPr="00940ECC" w:rsidRDefault="00940ECC" w:rsidP="00940ECC">
      <w:r w:rsidRPr="00940ECC">
        <w:t>That deprived Appellant of statutory rights.</w:t>
      </w:r>
    </w:p>
    <w:p w14:paraId="11AE38C1" w14:textId="77777777" w:rsidR="00940ECC" w:rsidRPr="00940ECC" w:rsidRDefault="00940ECC" w:rsidP="00940ECC">
      <w:r w:rsidRPr="00940ECC">
        <w:pict w14:anchorId="2E9E8713">
          <v:rect id="_x0000_i1199" style="width:0;height:1.5pt" o:hralign="center" o:hrstd="t" o:hr="t" fillcolor="#a0a0a0" stroked="f"/>
        </w:pict>
      </w:r>
    </w:p>
    <w:p w14:paraId="63C40FF0" w14:textId="77777777" w:rsidR="00940ECC" w:rsidRPr="00940ECC" w:rsidRDefault="00940ECC" w:rsidP="00940ECC">
      <w:pPr>
        <w:rPr>
          <w:b/>
          <w:bCs/>
        </w:rPr>
      </w:pPr>
      <w:r w:rsidRPr="00940ECC">
        <w:rPr>
          <w:b/>
          <w:bCs/>
        </w:rPr>
        <w:t>G. Failure to Follow Prior Appellate Findings</w:t>
      </w:r>
    </w:p>
    <w:p w14:paraId="73A4637E" w14:textId="77777777" w:rsidR="00940ECC" w:rsidRPr="00940ECC" w:rsidRDefault="00940ECC" w:rsidP="00940ECC">
      <w:r w:rsidRPr="00940ECC">
        <w:t>In Case No. E055840, this Court recognized:</w:t>
      </w:r>
    </w:p>
    <w:p w14:paraId="0489DBE7" w14:textId="77777777" w:rsidR="00940ECC" w:rsidRPr="00940ECC" w:rsidRDefault="00940ECC" w:rsidP="00236378">
      <w:pPr>
        <w:ind w:left="720"/>
      </w:pPr>
      <w:r w:rsidRPr="00940ECC">
        <w:t>• DNA predating the homicide</w:t>
      </w:r>
      <w:r w:rsidRPr="00940ECC">
        <w:br/>
        <w:t>• Sixteen additional DNA profiles</w:t>
      </w:r>
      <w:r w:rsidRPr="00940ECC">
        <w:br/>
        <w:t>• Third-party culpability evidence</w:t>
      </w:r>
    </w:p>
    <w:p w14:paraId="37C5DB99" w14:textId="77777777" w:rsidR="00940ECC" w:rsidRPr="00940ECC" w:rsidRDefault="00940ECC" w:rsidP="00940ECC">
      <w:r w:rsidRPr="00940ECC">
        <w:t>These findings undermine any categorical “actual killer” conclusion.</w:t>
      </w:r>
    </w:p>
    <w:p w14:paraId="3C865CA4" w14:textId="77777777" w:rsidR="00940ECC" w:rsidRPr="00940ECC" w:rsidRDefault="00940ECC" w:rsidP="00940ECC">
      <w:r w:rsidRPr="00940ECC">
        <w:t>The trial court’s ruling conflicts with the record established by this Court.</w:t>
      </w:r>
    </w:p>
    <w:p w14:paraId="099CD42D" w14:textId="77777777" w:rsidR="00940ECC" w:rsidRPr="00940ECC" w:rsidRDefault="00940ECC" w:rsidP="00940ECC">
      <w:r w:rsidRPr="00940ECC">
        <w:pict w14:anchorId="12B0BF6E">
          <v:rect id="_x0000_i1200" style="width:0;height:1.5pt" o:hralign="center" o:hrstd="t" o:hr="t" fillcolor="#a0a0a0" stroked="f"/>
        </w:pict>
      </w:r>
    </w:p>
    <w:p w14:paraId="60847898" w14:textId="77777777" w:rsidR="00940ECC" w:rsidRPr="00940ECC" w:rsidRDefault="00940ECC" w:rsidP="00940ECC">
      <w:pPr>
        <w:rPr>
          <w:b/>
          <w:bCs/>
        </w:rPr>
      </w:pPr>
      <w:r w:rsidRPr="00940ECC">
        <w:rPr>
          <w:b/>
          <w:bCs/>
        </w:rPr>
        <w:t>VI. CONCLUSION</w:t>
      </w:r>
    </w:p>
    <w:p w14:paraId="55134C8A" w14:textId="77777777" w:rsidR="00940ECC" w:rsidRPr="00940ECC" w:rsidRDefault="00940ECC" w:rsidP="00940ECC">
      <w:r w:rsidRPr="00940ECC">
        <w:t>Appellant respectfully requests:</w:t>
      </w:r>
    </w:p>
    <w:p w14:paraId="606C247F" w14:textId="77777777" w:rsidR="00940ECC" w:rsidRPr="00940ECC" w:rsidRDefault="00940ECC" w:rsidP="00940ECC">
      <w:pPr>
        <w:numPr>
          <w:ilvl w:val="0"/>
          <w:numId w:val="19"/>
        </w:numPr>
      </w:pPr>
      <w:r w:rsidRPr="00940ECC">
        <w:t>Reversal of the denial of the §1172.6 petition.</w:t>
      </w:r>
    </w:p>
    <w:p w14:paraId="2FC0F83A" w14:textId="77777777" w:rsidR="00940ECC" w:rsidRPr="00940ECC" w:rsidRDefault="00940ECC" w:rsidP="00940ECC">
      <w:pPr>
        <w:numPr>
          <w:ilvl w:val="0"/>
          <w:numId w:val="19"/>
        </w:numPr>
      </w:pPr>
      <w:r w:rsidRPr="00940ECC">
        <w:lastRenderedPageBreak/>
        <w:t>Directions to issue an Order to Show Cause.</w:t>
      </w:r>
    </w:p>
    <w:p w14:paraId="1DB5A8E3" w14:textId="31DC17A6" w:rsidR="00940ECC" w:rsidRDefault="00940ECC" w:rsidP="00940ECC">
      <w:pPr>
        <w:numPr>
          <w:ilvl w:val="0"/>
          <w:numId w:val="19"/>
        </w:numPr>
      </w:pPr>
      <w:r w:rsidRPr="00940ECC">
        <w:t>Alternatively, remand for full evidentiary hearing.</w:t>
      </w:r>
    </w:p>
    <w:p w14:paraId="5B4913D7" w14:textId="77777777" w:rsidR="00236378" w:rsidRDefault="00236378" w:rsidP="00236378"/>
    <w:p w14:paraId="70878C9A" w14:textId="77777777" w:rsidR="00236378" w:rsidRDefault="00236378" w:rsidP="00236378"/>
    <w:p w14:paraId="30BB4CE7" w14:textId="77777777" w:rsidR="00236378" w:rsidRDefault="00236378" w:rsidP="00236378"/>
    <w:p w14:paraId="77B0EB41" w14:textId="77777777" w:rsidR="00236378" w:rsidRDefault="00236378" w:rsidP="00236378"/>
    <w:p w14:paraId="76983928" w14:textId="78D4C5FC" w:rsidR="00236378" w:rsidRDefault="00236378" w:rsidP="00236378">
      <w:pPr>
        <w:jc w:val="center"/>
      </w:pPr>
      <w:r>
        <w:t>VERIFICATION</w:t>
      </w:r>
    </w:p>
    <w:p w14:paraId="0B39CF09" w14:textId="77777777" w:rsidR="00236378" w:rsidRDefault="00236378"/>
    <w:p w14:paraId="40BE0342" w14:textId="37577737" w:rsidR="00236378" w:rsidRDefault="00236378" w:rsidP="00236378">
      <w:pPr>
        <w:spacing w:line="480" w:lineRule="auto"/>
      </w:pPr>
      <w:r>
        <w:t>I John Henry Yablonsky, an adult party to this action declare under penalty or perjury the forgoing facts are true and accurate according to belief and knowledge.</w:t>
      </w:r>
    </w:p>
    <w:p w14:paraId="26880E32" w14:textId="77777777" w:rsidR="00236378" w:rsidRDefault="00236378" w:rsidP="00236378">
      <w:pPr>
        <w:spacing w:line="480" w:lineRule="auto"/>
      </w:pPr>
    </w:p>
    <w:p w14:paraId="3E3B6EF5" w14:textId="77777777" w:rsidR="00FA43E2" w:rsidRDefault="00FA43E2" w:rsidP="00236378">
      <w:pPr>
        <w:spacing w:line="480" w:lineRule="auto"/>
      </w:pPr>
    </w:p>
    <w:p w14:paraId="232EE61B" w14:textId="77777777" w:rsidR="00236378" w:rsidRDefault="00236378" w:rsidP="00236378">
      <w:pPr>
        <w:spacing w:line="480" w:lineRule="auto"/>
      </w:pPr>
    </w:p>
    <w:p w14:paraId="47A8E9DD" w14:textId="6BF4CE62" w:rsidR="00236378" w:rsidRDefault="00236378" w:rsidP="00FA43E2">
      <w:pPr>
        <w:spacing w:line="480" w:lineRule="auto"/>
        <w:jc w:val="center"/>
      </w:pPr>
      <w:r>
        <w:t xml:space="preserve">Date: _________________________ </w:t>
      </w:r>
      <w:r w:rsidR="00FA43E2">
        <w:t xml:space="preserve">   </w:t>
      </w:r>
      <w:r w:rsidR="00FA43E2">
        <w:tab/>
      </w:r>
      <w:r w:rsidR="00FA43E2">
        <w:tab/>
      </w:r>
      <w:r w:rsidR="00FA43E2">
        <w:tab/>
      </w:r>
      <w:r w:rsidR="00FA43E2">
        <w:tab/>
      </w:r>
      <w:r w:rsidR="00FA43E2">
        <w:tab/>
        <w:t>John Henry Yablonsky</w:t>
      </w:r>
    </w:p>
    <w:p w14:paraId="2EE6B073" w14:textId="77777777" w:rsidR="00236378" w:rsidRDefault="00236378"/>
    <w:p w14:paraId="5DDEBFFA" w14:textId="4577BB60" w:rsidR="00236378" w:rsidRDefault="00236378">
      <w:r>
        <w:br w:type="page"/>
      </w:r>
    </w:p>
    <w:sectPr w:rsidR="0023637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6C60" w14:textId="77777777" w:rsidR="001A3A80" w:rsidRDefault="001A3A80" w:rsidP="00CD5718">
      <w:pPr>
        <w:spacing w:after="0" w:line="240" w:lineRule="auto"/>
      </w:pPr>
      <w:r>
        <w:separator/>
      </w:r>
    </w:p>
  </w:endnote>
  <w:endnote w:type="continuationSeparator" w:id="0">
    <w:p w14:paraId="6286643B" w14:textId="77777777" w:rsidR="001A3A80" w:rsidRDefault="001A3A80" w:rsidP="00CD5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716375"/>
      <w:docPartObj>
        <w:docPartGallery w:val="Page Numbers (Bottom of Page)"/>
        <w:docPartUnique/>
      </w:docPartObj>
    </w:sdtPr>
    <w:sdtContent>
      <w:sdt>
        <w:sdtPr>
          <w:id w:val="-1769616900"/>
          <w:docPartObj>
            <w:docPartGallery w:val="Page Numbers (Top of Page)"/>
            <w:docPartUnique/>
          </w:docPartObj>
        </w:sdtPr>
        <w:sdtContent>
          <w:p w14:paraId="67E8FDF2" w14:textId="49BDCB33" w:rsidR="00CD5718" w:rsidRDefault="00CD571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B56C9F3" w14:textId="77777777" w:rsidR="00CD5718" w:rsidRDefault="00CD5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09E2A" w14:textId="77777777" w:rsidR="001A3A80" w:rsidRDefault="001A3A80" w:rsidP="00CD5718">
      <w:pPr>
        <w:spacing w:after="0" w:line="240" w:lineRule="auto"/>
      </w:pPr>
      <w:r>
        <w:separator/>
      </w:r>
    </w:p>
  </w:footnote>
  <w:footnote w:type="continuationSeparator" w:id="0">
    <w:p w14:paraId="4C63965E" w14:textId="77777777" w:rsidR="001A3A80" w:rsidRDefault="001A3A80" w:rsidP="00CD5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9F8"/>
    <w:multiLevelType w:val="multilevel"/>
    <w:tmpl w:val="CC68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D65CE"/>
    <w:multiLevelType w:val="multilevel"/>
    <w:tmpl w:val="A2DA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A1E0B"/>
    <w:multiLevelType w:val="multilevel"/>
    <w:tmpl w:val="6C36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B6C21"/>
    <w:multiLevelType w:val="multilevel"/>
    <w:tmpl w:val="0E02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E22DB"/>
    <w:multiLevelType w:val="multilevel"/>
    <w:tmpl w:val="AA18E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735660"/>
    <w:multiLevelType w:val="multilevel"/>
    <w:tmpl w:val="F62EC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A48D8"/>
    <w:multiLevelType w:val="hybridMultilevel"/>
    <w:tmpl w:val="C3E6D2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2A3C56"/>
    <w:multiLevelType w:val="multilevel"/>
    <w:tmpl w:val="C51A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87061"/>
    <w:multiLevelType w:val="multilevel"/>
    <w:tmpl w:val="3140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23E0B"/>
    <w:multiLevelType w:val="multilevel"/>
    <w:tmpl w:val="EC40E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B46B6"/>
    <w:multiLevelType w:val="multilevel"/>
    <w:tmpl w:val="D89A3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5F1EE7"/>
    <w:multiLevelType w:val="multilevel"/>
    <w:tmpl w:val="94EA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713CA4"/>
    <w:multiLevelType w:val="multilevel"/>
    <w:tmpl w:val="35A0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2E67AD"/>
    <w:multiLevelType w:val="multilevel"/>
    <w:tmpl w:val="319CA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80E8A"/>
    <w:multiLevelType w:val="hybridMultilevel"/>
    <w:tmpl w:val="06FA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94B9E"/>
    <w:multiLevelType w:val="multilevel"/>
    <w:tmpl w:val="5B4E19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CD3AF4"/>
    <w:multiLevelType w:val="multilevel"/>
    <w:tmpl w:val="C1FA2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E661D"/>
    <w:multiLevelType w:val="multilevel"/>
    <w:tmpl w:val="7B4C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675488"/>
    <w:multiLevelType w:val="multilevel"/>
    <w:tmpl w:val="4AB0A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135606"/>
    <w:multiLevelType w:val="multilevel"/>
    <w:tmpl w:val="F9C8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548771">
    <w:abstractNumId w:val="12"/>
  </w:num>
  <w:num w:numId="2" w16cid:durableId="270474240">
    <w:abstractNumId w:val="16"/>
  </w:num>
  <w:num w:numId="3" w16cid:durableId="1555851727">
    <w:abstractNumId w:val="15"/>
  </w:num>
  <w:num w:numId="4" w16cid:durableId="1548030746">
    <w:abstractNumId w:val="1"/>
  </w:num>
  <w:num w:numId="5" w16cid:durableId="1321811548">
    <w:abstractNumId w:val="0"/>
  </w:num>
  <w:num w:numId="6" w16cid:durableId="1977370449">
    <w:abstractNumId w:val="2"/>
  </w:num>
  <w:num w:numId="7" w16cid:durableId="1910920820">
    <w:abstractNumId w:val="5"/>
  </w:num>
  <w:num w:numId="8" w16cid:durableId="1264604083">
    <w:abstractNumId w:val="18"/>
  </w:num>
  <w:num w:numId="9" w16cid:durableId="88890962">
    <w:abstractNumId w:val="9"/>
  </w:num>
  <w:num w:numId="10" w16cid:durableId="1492217313">
    <w:abstractNumId w:val="7"/>
  </w:num>
  <w:num w:numId="11" w16cid:durableId="659039526">
    <w:abstractNumId w:val="3"/>
  </w:num>
  <w:num w:numId="12" w16cid:durableId="238831369">
    <w:abstractNumId w:val="14"/>
  </w:num>
  <w:num w:numId="13" w16cid:durableId="869682040">
    <w:abstractNumId w:val="17"/>
  </w:num>
  <w:num w:numId="14" w16cid:durableId="1920871858">
    <w:abstractNumId w:val="19"/>
  </w:num>
  <w:num w:numId="15" w16cid:durableId="1654138396">
    <w:abstractNumId w:val="13"/>
  </w:num>
  <w:num w:numId="16" w16cid:durableId="770199622">
    <w:abstractNumId w:val="8"/>
  </w:num>
  <w:num w:numId="17" w16cid:durableId="2116635506">
    <w:abstractNumId w:val="11"/>
  </w:num>
  <w:num w:numId="18" w16cid:durableId="999310159">
    <w:abstractNumId w:val="6"/>
  </w:num>
  <w:num w:numId="19" w16cid:durableId="1462651856">
    <w:abstractNumId w:val="10"/>
  </w:num>
  <w:num w:numId="20" w16cid:durableId="306058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BB"/>
    <w:rsid w:val="0003542D"/>
    <w:rsid w:val="0008166C"/>
    <w:rsid w:val="000B7933"/>
    <w:rsid w:val="000E2935"/>
    <w:rsid w:val="00152728"/>
    <w:rsid w:val="001A3A80"/>
    <w:rsid w:val="00236378"/>
    <w:rsid w:val="002811B6"/>
    <w:rsid w:val="002B0254"/>
    <w:rsid w:val="00334A07"/>
    <w:rsid w:val="003C42BB"/>
    <w:rsid w:val="004013AE"/>
    <w:rsid w:val="0048212B"/>
    <w:rsid w:val="00531628"/>
    <w:rsid w:val="006B2B6A"/>
    <w:rsid w:val="007F798C"/>
    <w:rsid w:val="00940ECC"/>
    <w:rsid w:val="009D6C65"/>
    <w:rsid w:val="00A778DA"/>
    <w:rsid w:val="00AD7D9F"/>
    <w:rsid w:val="00CD5718"/>
    <w:rsid w:val="00DE41DF"/>
    <w:rsid w:val="00F55A60"/>
    <w:rsid w:val="00FA4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67DB"/>
  <w15:chartTrackingRefBased/>
  <w15:docId w15:val="{A0900682-7820-4833-B4E6-93B3DA97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2BB"/>
    <w:rPr>
      <w:rFonts w:eastAsiaTheme="majorEastAsia" w:cstheme="majorBidi"/>
      <w:color w:val="272727" w:themeColor="text1" w:themeTint="D8"/>
    </w:rPr>
  </w:style>
  <w:style w:type="paragraph" w:styleId="Title">
    <w:name w:val="Title"/>
    <w:basedOn w:val="Normal"/>
    <w:next w:val="Normal"/>
    <w:link w:val="TitleChar"/>
    <w:uiPriority w:val="10"/>
    <w:qFormat/>
    <w:rsid w:val="003C4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2BB"/>
    <w:pPr>
      <w:spacing w:before="160"/>
      <w:jc w:val="center"/>
    </w:pPr>
    <w:rPr>
      <w:i/>
      <w:iCs/>
      <w:color w:val="404040" w:themeColor="text1" w:themeTint="BF"/>
    </w:rPr>
  </w:style>
  <w:style w:type="character" w:customStyle="1" w:styleId="QuoteChar">
    <w:name w:val="Quote Char"/>
    <w:basedOn w:val="DefaultParagraphFont"/>
    <w:link w:val="Quote"/>
    <w:uiPriority w:val="29"/>
    <w:rsid w:val="003C42BB"/>
    <w:rPr>
      <w:i/>
      <w:iCs/>
      <w:color w:val="404040" w:themeColor="text1" w:themeTint="BF"/>
    </w:rPr>
  </w:style>
  <w:style w:type="paragraph" w:styleId="ListParagraph">
    <w:name w:val="List Paragraph"/>
    <w:basedOn w:val="Normal"/>
    <w:uiPriority w:val="34"/>
    <w:qFormat/>
    <w:rsid w:val="003C42BB"/>
    <w:pPr>
      <w:ind w:left="720"/>
      <w:contextualSpacing/>
    </w:pPr>
  </w:style>
  <w:style w:type="character" w:styleId="IntenseEmphasis">
    <w:name w:val="Intense Emphasis"/>
    <w:basedOn w:val="DefaultParagraphFont"/>
    <w:uiPriority w:val="21"/>
    <w:qFormat/>
    <w:rsid w:val="003C42BB"/>
    <w:rPr>
      <w:i/>
      <w:iCs/>
      <w:color w:val="0F4761" w:themeColor="accent1" w:themeShade="BF"/>
    </w:rPr>
  </w:style>
  <w:style w:type="paragraph" w:styleId="IntenseQuote">
    <w:name w:val="Intense Quote"/>
    <w:basedOn w:val="Normal"/>
    <w:next w:val="Normal"/>
    <w:link w:val="IntenseQuoteChar"/>
    <w:uiPriority w:val="30"/>
    <w:qFormat/>
    <w:rsid w:val="003C4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2BB"/>
    <w:rPr>
      <w:i/>
      <w:iCs/>
      <w:color w:val="0F4761" w:themeColor="accent1" w:themeShade="BF"/>
    </w:rPr>
  </w:style>
  <w:style w:type="character" w:styleId="IntenseReference">
    <w:name w:val="Intense Reference"/>
    <w:basedOn w:val="DefaultParagraphFont"/>
    <w:uiPriority w:val="32"/>
    <w:qFormat/>
    <w:rsid w:val="003C42BB"/>
    <w:rPr>
      <w:b/>
      <w:bCs/>
      <w:smallCaps/>
      <w:color w:val="0F4761" w:themeColor="accent1" w:themeShade="BF"/>
      <w:spacing w:val="5"/>
    </w:rPr>
  </w:style>
  <w:style w:type="character" w:styleId="Hyperlink">
    <w:name w:val="Hyperlink"/>
    <w:basedOn w:val="DefaultParagraphFont"/>
    <w:uiPriority w:val="99"/>
    <w:unhideWhenUsed/>
    <w:rsid w:val="002B0254"/>
    <w:rPr>
      <w:color w:val="467886" w:themeColor="hyperlink"/>
      <w:u w:val="single"/>
    </w:rPr>
  </w:style>
  <w:style w:type="character" w:styleId="UnresolvedMention">
    <w:name w:val="Unresolved Mention"/>
    <w:basedOn w:val="DefaultParagraphFont"/>
    <w:uiPriority w:val="99"/>
    <w:semiHidden/>
    <w:unhideWhenUsed/>
    <w:rsid w:val="002B0254"/>
    <w:rPr>
      <w:color w:val="605E5C"/>
      <w:shd w:val="clear" w:color="auto" w:fill="E1DFDD"/>
    </w:rPr>
  </w:style>
  <w:style w:type="table" w:styleId="TableGrid">
    <w:name w:val="Table Grid"/>
    <w:basedOn w:val="TableNormal"/>
    <w:uiPriority w:val="39"/>
    <w:rsid w:val="00401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5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718"/>
  </w:style>
  <w:style w:type="paragraph" w:styleId="Footer">
    <w:name w:val="footer"/>
    <w:basedOn w:val="Normal"/>
    <w:link w:val="FooterChar"/>
    <w:uiPriority w:val="99"/>
    <w:unhideWhenUsed/>
    <w:rsid w:val="00CD5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1040</Words>
  <Characters>6168</Characters>
  <Application>Microsoft Office Word</Application>
  <DocSecurity>0</DocSecurity>
  <Lines>192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Yablonsky</dc:creator>
  <cp:keywords/>
  <dc:description/>
  <cp:lastModifiedBy>Ken Yablonsky</cp:lastModifiedBy>
  <cp:revision>7</cp:revision>
  <dcterms:created xsi:type="dcterms:W3CDTF">2026-02-17T02:57:00Z</dcterms:created>
  <dcterms:modified xsi:type="dcterms:W3CDTF">2026-02-17T03:22:00Z</dcterms:modified>
</cp:coreProperties>
</file>